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20" w:lineRule="exact"/>
        <w:ind w:firstLine="280" w:firstLineChars="100"/>
        <w:jc w:val="both"/>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省道317郑州与开封交界至航空港区改建工程附属工程施工招标公告</w:t>
      </w:r>
    </w:p>
    <w:p>
      <w:pPr>
        <w:keepNext w:val="0"/>
        <w:keepLines w:val="0"/>
        <w:pageBreakBefore w:val="0"/>
        <w:widowControl w:val="0"/>
        <w:kinsoku/>
        <w:wordWrap w:val="0"/>
        <w:overflowPunct/>
        <w:topLinePunct w:val="0"/>
        <w:autoSpaceDE/>
        <w:autoSpaceDN/>
        <w:bidi w:val="0"/>
        <w:adjustRightInd/>
        <w:snapToGrid/>
        <w:spacing w:line="420" w:lineRule="exact"/>
        <w:jc w:val="center"/>
        <w:textAlignment w:val="auto"/>
        <w:rPr>
          <w:rFonts w:hint="eastAsia" w:ascii="宋体" w:hAnsi="宋体" w:eastAsia="宋体" w:cs="宋体"/>
          <w:b w:val="0"/>
          <w:bCs w:val="0"/>
          <w:sz w:val="28"/>
          <w:szCs w:val="28"/>
        </w:rPr>
      </w:pP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1.招标条件</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本招标项目省道317郑州与开封交界至航空港区改建工程已由郑州市发展和改革委员会以郑发改基础〔2017〕624号文批准建设，施工图设计已由郑州市交通运输委员会以“郑交规划〔2018〕51号”批准，建设资金来自财政资金，出资比例为100%，招标人为郑州市公路事业发展中心（原郑州市公路管理局）。项目已具备招标条件，现对该项目的附属工程施工进行公开招标。</w:t>
      </w: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2.项目概况与招标范围</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2.1项目概况：该项目起点位于郑州航空港经济综合实验区规划的迎宾大道郑州与开封交界处，接开封市开港大道支线，由东向西与省道224（原中刁路）交叉后，经付李庄北，在祥符营东利用在建机西高速互通式立交（主线下穿）后，经赫营、湾王，项目终点止于三官庙小辛庄与在建国道107东移线平面平交处。路线全长13.895公里，郑州境长13.461公里（开封境为0.434公里）。其中，中牟县里程8.437公里，航空港区5.024公里。</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新建桥梁171.08米/3座，其中中桥150.04米/2座，小桥21.04米/1座；新建涵洞11道。利用机西高速公路二期工程互通式立体交叉1处（不含主线），新建天桥2座，平面交叉14处。新建养护工区（含监控通信站及交通调查站）1处，停车区1处。沿线设置公交港湾。</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2.2计划工期：工期4个月；工程缺陷责任期24个月。</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2.3招标范围及标段划分：本次施工招标范围包括停车区、交通安全设施等工程；详见施工图纸及工程量清单的所有内容。本次招标共划分为 2 个标段：</w:t>
      </w:r>
    </w:p>
    <w:tbl>
      <w:tblPr>
        <w:tblStyle w:val="2"/>
        <w:tblW w:w="8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2"/>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32" w:type="dxa"/>
            <w:noWrap w:val="0"/>
            <w:vAlign w:val="center"/>
          </w:tcPr>
          <w:p>
            <w:pPr>
              <w:keepNext w:val="0"/>
              <w:keepLines w:val="0"/>
              <w:pageBreakBefore w:val="0"/>
              <w:widowControl w:val="0"/>
              <w:kinsoku/>
              <w:wordWrap w:val="0"/>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合同段号</w:t>
            </w:r>
          </w:p>
        </w:tc>
        <w:tc>
          <w:tcPr>
            <w:tcW w:w="7480" w:type="dxa"/>
            <w:noWrap w:val="0"/>
            <w:vAlign w:val="center"/>
          </w:tcPr>
          <w:p>
            <w:pPr>
              <w:keepNext w:val="0"/>
              <w:keepLines w:val="0"/>
              <w:pageBreakBefore w:val="0"/>
              <w:widowControl w:val="0"/>
              <w:kinsoku/>
              <w:wordWrap w:val="0"/>
              <w:overflowPunct/>
              <w:topLinePunct w:val="0"/>
              <w:autoSpaceDE/>
              <w:autoSpaceDN/>
              <w:bidi w:val="0"/>
              <w:adjustRightInd/>
              <w:snapToGrid/>
              <w:spacing w:line="420" w:lineRule="exact"/>
              <w:ind w:firstLine="2940" w:firstLineChars="14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32" w:type="dxa"/>
            <w:noWrap w:val="0"/>
            <w:vAlign w:val="center"/>
          </w:tcPr>
          <w:p>
            <w:pPr>
              <w:keepNext w:val="0"/>
              <w:keepLines w:val="0"/>
              <w:pageBreakBefore w:val="0"/>
              <w:widowControl w:val="0"/>
              <w:kinsoku/>
              <w:wordWrap w:val="0"/>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S317KG-SG3</w:t>
            </w:r>
          </w:p>
        </w:tc>
        <w:tc>
          <w:tcPr>
            <w:tcW w:w="7480" w:type="dxa"/>
            <w:noWrap w:val="0"/>
            <w:vAlign w:val="center"/>
          </w:tcPr>
          <w:p>
            <w:pPr>
              <w:keepNext w:val="0"/>
              <w:keepLines w:val="0"/>
              <w:pageBreakBefore w:val="0"/>
              <w:widowControl w:val="0"/>
              <w:kinsoku/>
              <w:wordWrap w:val="0"/>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停车区：工区内房建、道路、绿化、设备等：房建总建筑面积593.24平方米；道路及广场面积</w:t>
            </w:r>
            <w:r>
              <w:rPr>
                <w:rFonts w:hint="eastAsia" w:ascii="宋体" w:hAnsi="宋体" w:eastAsia="宋体" w:cs="宋体"/>
                <w:b w:val="0"/>
                <w:bCs w:val="0"/>
                <w:sz w:val="21"/>
                <w:szCs w:val="21"/>
                <w:lang w:val="en-US" w:eastAsia="zh-CN"/>
              </w:rPr>
              <w:t>4117.01</w:t>
            </w:r>
            <w:r>
              <w:rPr>
                <w:rFonts w:hint="eastAsia" w:ascii="宋体" w:hAnsi="宋体" w:eastAsia="宋体" w:cs="宋体"/>
                <w:b w:val="0"/>
                <w:bCs w:val="0"/>
                <w:sz w:val="21"/>
                <w:szCs w:val="21"/>
              </w:rPr>
              <w:t>平方米；停车区照明工程。外接电工程：停车区、中刁路平交口信号灯外接电工程。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32" w:type="dxa"/>
            <w:noWrap w:val="0"/>
            <w:vAlign w:val="center"/>
          </w:tcPr>
          <w:p>
            <w:pPr>
              <w:keepNext w:val="0"/>
              <w:keepLines w:val="0"/>
              <w:pageBreakBefore w:val="0"/>
              <w:widowControl w:val="0"/>
              <w:kinsoku/>
              <w:wordWrap w:val="0"/>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S317KG-SG4</w:t>
            </w:r>
          </w:p>
        </w:tc>
        <w:tc>
          <w:tcPr>
            <w:tcW w:w="7480" w:type="dxa"/>
            <w:noWrap w:val="0"/>
            <w:vAlign w:val="center"/>
          </w:tcPr>
          <w:p>
            <w:pPr>
              <w:keepNext w:val="0"/>
              <w:keepLines w:val="0"/>
              <w:pageBreakBefore w:val="0"/>
              <w:widowControl w:val="0"/>
              <w:kinsoku/>
              <w:wordWrap w:val="0"/>
              <w:overflowPunct/>
              <w:topLinePunct w:val="0"/>
              <w:autoSpaceDE/>
              <w:autoSpaceDN/>
              <w:bidi w:val="0"/>
              <w:adjustRightInd/>
              <w:snapToGrid/>
              <w:spacing w:line="420" w:lineRule="exact"/>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交通安全设施：K0+000～K8+817范围内的标志、标线、轮廓标、防眩板、警示柱、信号灯、里程桩、百米桩、公路界碑、波形梁护栏。2676米声屏障工程。</w:t>
            </w:r>
          </w:p>
        </w:tc>
      </w:tr>
    </w:tbl>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3.投标人资格要求</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3.1本次招标要求：</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(1) S317KG-SG3：投标人须具备建设行政主管部门核发的建筑工程施工总承包三级及以上资质；2015年1月1日以来（以交工日期为准）完成过2项合同额不少于1000万元的建筑工程施工业绩；项目经理须具备建筑工程专业二级及以上注册建造师执业资格，并具备建筑工程相关专业中级及以上技术职称，具备有效的安全考核合格证书，担任过类似工程的项目经理；并在人员、设备、资金等方面具有相应的施工能力。</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 S317KG-SG4：投标人须具备建设行政主管部门核发的公路交通工程专业承包公路安全设施分项一级资质；2015年1月1日以来（以交工日期为准）完成过2项合同额不少于1000万元（一级公路及以上等级）的交通安全设施工程施工业绩；项目经理须具备公路工程专业二级及以上注册建造师执业资格，并具备公路工程相关专业中级及以上技术职称，具备有效的安全考核合格证书，担任过类似工程的项目经理；并在人员、设备、资金等方面具有相应的施工能力。</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投标人应进入交通运输部“全国公路建设市场信用信息管理系统（http://glxy.mot.gov.cn）”中的公路工程施工资质企业名录，且投标人名称和资质与该名录中的相应企业名称和资质完全一致。（根据《关于发布公路工程从业企业资质名录的通知》（厅公路字﹝2011﹞114号）要求，本项规定仅适用于具有公路交通工程专业承包资质的企业）。</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3.2本次招标</w:t>
      </w:r>
      <w:r>
        <w:rPr>
          <w:rFonts w:hint="eastAsia" w:ascii="宋体" w:hAnsi="宋体" w:eastAsia="宋体" w:cs="宋体"/>
          <w:b w:val="0"/>
          <w:bCs w:val="0"/>
          <w:sz w:val="21"/>
          <w:szCs w:val="21"/>
          <w:u w:val="single"/>
        </w:rPr>
        <w:t>不接受</w:t>
      </w:r>
      <w:r>
        <w:rPr>
          <w:rFonts w:hint="eastAsia" w:ascii="宋体" w:hAnsi="宋体" w:eastAsia="宋体" w:cs="宋体"/>
          <w:b w:val="0"/>
          <w:bCs w:val="0"/>
          <w:sz w:val="21"/>
          <w:szCs w:val="21"/>
        </w:rPr>
        <w:t>联合体投标。</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3.3每个投标人最多可对</w:t>
      </w:r>
      <w:r>
        <w:rPr>
          <w:rFonts w:hint="eastAsia" w:ascii="宋体" w:hAnsi="宋体" w:eastAsia="宋体" w:cs="宋体"/>
          <w:b w:val="0"/>
          <w:bCs w:val="0"/>
          <w:sz w:val="21"/>
          <w:szCs w:val="21"/>
          <w:u w:val="single"/>
        </w:rPr>
        <w:t xml:space="preserve"> 2</w:t>
      </w:r>
      <w:r>
        <w:rPr>
          <w:rFonts w:hint="eastAsia" w:ascii="宋体" w:hAnsi="宋体" w:eastAsia="宋体" w:cs="宋体"/>
          <w:b w:val="0"/>
          <w:bCs w:val="0"/>
          <w:sz w:val="21"/>
          <w:szCs w:val="21"/>
        </w:rPr>
        <w:t>个标段投标，但每个投标人只允许中其中</w:t>
      </w:r>
      <w:r>
        <w:rPr>
          <w:rFonts w:hint="eastAsia" w:ascii="宋体" w:hAnsi="宋体" w:eastAsia="宋体" w:cs="宋体"/>
          <w:b w:val="0"/>
          <w:bCs w:val="0"/>
          <w:sz w:val="21"/>
          <w:szCs w:val="21"/>
          <w:u w:val="single"/>
        </w:rPr>
        <w:t xml:space="preserve"> 1</w:t>
      </w:r>
      <w:r>
        <w:rPr>
          <w:rFonts w:hint="eastAsia" w:ascii="宋体" w:hAnsi="宋体" w:eastAsia="宋体" w:cs="宋体"/>
          <w:b w:val="0"/>
          <w:bCs w:val="0"/>
          <w:sz w:val="21"/>
          <w:szCs w:val="21"/>
        </w:rPr>
        <w:t>个标段。(若同一投标人多个标段排名均为第一时，则选取招标人报价较高的标段中标。)</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3.4与招标人存在利害关系可能影响招标公正性的单位，不得参加投标。单位负责人为同一人或存在控股、管理关系的不同单位，不得参加同一标段投标，否则，相关投标均无效。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3.5在“信用中国”（</w:t>
      </w:r>
      <w:r>
        <w:rPr>
          <w:rFonts w:hint="eastAsia" w:ascii="宋体" w:hAnsi="宋体" w:eastAsia="宋体" w:cs="宋体"/>
          <w:b w:val="0"/>
          <w:bCs w:val="0"/>
          <w:sz w:val="21"/>
          <w:szCs w:val="21"/>
        </w:rPr>
        <w:fldChar w:fldCharType="begin"/>
      </w:r>
      <w:r>
        <w:rPr>
          <w:rFonts w:hint="eastAsia" w:ascii="宋体" w:hAnsi="宋体" w:eastAsia="宋体" w:cs="宋体"/>
          <w:b w:val="0"/>
          <w:bCs w:val="0"/>
          <w:sz w:val="21"/>
          <w:szCs w:val="21"/>
        </w:rPr>
        <w:instrText xml:space="preserve"> HYPERLINK "http://www.creditchina.gov.cn/" </w:instrText>
      </w:r>
      <w:r>
        <w:rPr>
          <w:rFonts w:hint="eastAsia" w:ascii="宋体" w:hAnsi="宋体" w:eastAsia="宋体" w:cs="宋体"/>
          <w:b w:val="0"/>
          <w:bCs w:val="0"/>
          <w:sz w:val="21"/>
          <w:szCs w:val="21"/>
        </w:rPr>
        <w:fldChar w:fldCharType="separate"/>
      </w:r>
      <w:r>
        <w:rPr>
          <w:rFonts w:hint="eastAsia" w:ascii="宋体" w:hAnsi="宋体" w:eastAsia="宋体" w:cs="宋体"/>
          <w:b w:val="0"/>
          <w:bCs w:val="0"/>
          <w:sz w:val="21"/>
          <w:szCs w:val="21"/>
        </w:rPr>
        <w:t>www.creditchina.gov.cn</w:t>
      </w:r>
      <w:r>
        <w:rPr>
          <w:rFonts w:hint="eastAsia" w:ascii="宋体" w:hAnsi="宋体" w:eastAsia="宋体" w:cs="宋体"/>
          <w:b w:val="0"/>
          <w:bCs w:val="0"/>
          <w:sz w:val="21"/>
          <w:szCs w:val="21"/>
        </w:rPr>
        <w:fldChar w:fldCharType="end"/>
      </w:r>
      <w:r>
        <w:rPr>
          <w:rFonts w:hint="eastAsia" w:ascii="宋体" w:hAnsi="宋体" w:eastAsia="宋体" w:cs="宋体"/>
          <w:b w:val="0"/>
          <w:bCs w:val="0"/>
          <w:sz w:val="21"/>
          <w:szCs w:val="21"/>
        </w:rPr>
        <w:t>）网站被列入失信被执行人名单的投标人，拒绝其参与本次投标活动。</w:t>
      </w: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4.招标文件的获取</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4.1凡有意申请参加投标者，请于2020年</w:t>
      </w:r>
      <w:r>
        <w:rPr>
          <w:rFonts w:hint="eastAsia" w:ascii="宋体" w:hAnsi="宋体" w:cs="宋体"/>
          <w:b w:val="0"/>
          <w:bCs w:val="0"/>
          <w:sz w:val="21"/>
          <w:szCs w:val="21"/>
          <w:lang w:val="en-US" w:eastAsia="zh-CN"/>
        </w:rPr>
        <w:t>9</w:t>
      </w:r>
      <w:r>
        <w:rPr>
          <w:rFonts w:hint="eastAsia" w:ascii="宋体" w:hAnsi="宋体" w:eastAsia="宋体" w:cs="宋体"/>
          <w:b w:val="0"/>
          <w:bCs w:val="0"/>
          <w:sz w:val="21"/>
          <w:szCs w:val="21"/>
        </w:rPr>
        <w:t>月</w:t>
      </w:r>
      <w:r>
        <w:rPr>
          <w:rFonts w:hint="eastAsia" w:ascii="宋体" w:hAnsi="宋体" w:cs="宋体"/>
          <w:b w:val="0"/>
          <w:bCs w:val="0"/>
          <w:sz w:val="21"/>
          <w:szCs w:val="21"/>
          <w:lang w:val="en-US" w:eastAsia="zh-CN"/>
        </w:rPr>
        <w:t>1</w:t>
      </w:r>
      <w:r>
        <w:rPr>
          <w:rFonts w:hint="eastAsia" w:ascii="宋体" w:hAnsi="宋体" w:eastAsia="宋体" w:cs="宋体"/>
          <w:b w:val="0"/>
          <w:bCs w:val="0"/>
          <w:sz w:val="21"/>
          <w:szCs w:val="21"/>
        </w:rPr>
        <w:t>日至2020年</w:t>
      </w:r>
      <w:r>
        <w:rPr>
          <w:rFonts w:hint="eastAsia" w:ascii="宋体" w:hAnsi="宋体" w:cs="宋体"/>
          <w:b w:val="0"/>
          <w:bCs w:val="0"/>
          <w:sz w:val="21"/>
          <w:szCs w:val="21"/>
          <w:lang w:val="en-US" w:eastAsia="zh-CN"/>
        </w:rPr>
        <w:t>9</w:t>
      </w:r>
      <w:r>
        <w:rPr>
          <w:rFonts w:hint="eastAsia" w:ascii="宋体" w:hAnsi="宋体" w:eastAsia="宋体" w:cs="宋体"/>
          <w:b w:val="0"/>
          <w:bCs w:val="0"/>
          <w:sz w:val="21"/>
          <w:szCs w:val="21"/>
        </w:rPr>
        <w:t>月</w:t>
      </w:r>
      <w:r>
        <w:rPr>
          <w:rFonts w:hint="eastAsia" w:ascii="宋体" w:hAnsi="宋体" w:cs="宋体"/>
          <w:b w:val="0"/>
          <w:bCs w:val="0"/>
          <w:sz w:val="21"/>
          <w:szCs w:val="21"/>
          <w:lang w:val="en-US" w:eastAsia="zh-CN"/>
        </w:rPr>
        <w:t>7</w:t>
      </w:r>
      <w:r>
        <w:rPr>
          <w:rFonts w:hint="eastAsia" w:ascii="宋体" w:hAnsi="宋体" w:eastAsia="宋体" w:cs="宋体"/>
          <w:b w:val="0"/>
          <w:bCs w:val="0"/>
          <w:sz w:val="21"/>
          <w:szCs w:val="21"/>
        </w:rPr>
        <w:t>日前，请登录“郑州公</w:t>
      </w:r>
      <w:bookmarkStart w:id="0" w:name="_GoBack"/>
      <w:bookmarkEnd w:id="0"/>
      <w:r>
        <w:rPr>
          <w:rFonts w:hint="eastAsia" w:ascii="宋体" w:hAnsi="宋体" w:eastAsia="宋体" w:cs="宋体"/>
          <w:b w:val="0"/>
          <w:bCs w:val="0"/>
          <w:sz w:val="21"/>
          <w:szCs w:val="21"/>
        </w:rPr>
        <w:t>共资源电子招投标交易平台http://www.zzsggzy.com/TPBidder”，凭CA证书下载招标文件。尚未办理企业CA锁的，河南省信息化发展有限公司开通了CA数字证书在线办理功能，郑州市公共资源交易中心各交易主体如需办理CA数字证书业务的，可通过以下链接：（http://xaca.hnxaca.com:8081/online/ggzyApply/index.shtml）在线办理，点击交易中心登录入口自助绑定。如遇使用问题请拨打客服电话0371-96596</w:t>
      </w:r>
      <w:r>
        <w:rPr>
          <w:rFonts w:hint="eastAsia" w:ascii="宋体" w:hAnsi="宋体" w:eastAsia="宋体" w:cs="宋体"/>
          <w:b w:val="0"/>
          <w:bCs w:val="0"/>
          <w:sz w:val="21"/>
          <w:szCs w:val="21"/>
          <w:lang w:val="en-US" w:eastAsia="zh-CN"/>
        </w:rPr>
        <w:t>。(技术支持咨询电话:0371-67188807,4009980000）</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4.2投标人须注册成为郑州市公共资源交易中心网站会员并取得CA密钥，凭CA密钥登录郑州市公共资源交易中心网站（http://www.zzsggzy.com/），点击“交易主体登陆”进入电子招投标交易平台进行文件下载，并按系统提示自行下载所含格式（*.ZZZF）的招标文件及资料。</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4.3招标文件每套售价1000元，图纸每套售价3000元，</w:t>
      </w:r>
      <w:r>
        <w:rPr>
          <w:rFonts w:hint="eastAsia" w:ascii="宋体" w:hAnsi="宋体" w:cs="宋体"/>
          <w:b w:val="0"/>
          <w:bCs w:val="0"/>
          <w:sz w:val="21"/>
          <w:szCs w:val="21"/>
          <w:lang w:eastAsia="zh-CN"/>
        </w:rPr>
        <w:t>招标文件费在开标现场缴纳不接受现金，</w:t>
      </w:r>
      <w:r>
        <w:rPr>
          <w:rFonts w:hint="eastAsia" w:ascii="宋体" w:hAnsi="宋体" w:eastAsia="宋体" w:cs="宋体"/>
          <w:b w:val="0"/>
          <w:bCs w:val="0"/>
          <w:sz w:val="21"/>
          <w:szCs w:val="21"/>
        </w:rPr>
        <w:t>售后不退。</w:t>
      </w: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5.投标文件的递交及相关事宜</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5.1招标人不组织工程现场踏勘，不召开投标预备会。</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5.2电子投标文件递交的截止时间（投标截止时间）为2020年</w:t>
      </w:r>
      <w:r>
        <w:rPr>
          <w:rFonts w:hint="eastAsia" w:ascii="宋体" w:hAnsi="宋体" w:cs="宋体"/>
          <w:b w:val="0"/>
          <w:bCs w:val="0"/>
          <w:sz w:val="21"/>
          <w:szCs w:val="21"/>
          <w:lang w:val="en-US" w:eastAsia="zh-CN"/>
        </w:rPr>
        <w:t>9</w:t>
      </w:r>
      <w:r>
        <w:rPr>
          <w:rFonts w:hint="eastAsia" w:ascii="宋体" w:hAnsi="宋体" w:eastAsia="宋体" w:cs="宋体"/>
          <w:b w:val="0"/>
          <w:bCs w:val="0"/>
          <w:sz w:val="21"/>
          <w:szCs w:val="21"/>
        </w:rPr>
        <w:t>月</w:t>
      </w:r>
      <w:r>
        <w:rPr>
          <w:rFonts w:hint="eastAsia" w:ascii="宋体" w:hAnsi="宋体" w:cs="宋体"/>
          <w:b w:val="0"/>
          <w:bCs w:val="0"/>
          <w:sz w:val="21"/>
          <w:szCs w:val="21"/>
          <w:lang w:val="en-US" w:eastAsia="zh-CN"/>
        </w:rPr>
        <w:t>23</w:t>
      </w:r>
      <w:r>
        <w:rPr>
          <w:rFonts w:hint="eastAsia" w:ascii="宋体" w:hAnsi="宋体" w:eastAsia="宋体" w:cs="宋体"/>
          <w:b w:val="0"/>
          <w:bCs w:val="0"/>
          <w:sz w:val="21"/>
          <w:szCs w:val="21"/>
        </w:rPr>
        <w:t>日</w:t>
      </w:r>
      <w:r>
        <w:rPr>
          <w:rFonts w:hint="eastAsia" w:ascii="宋体" w:hAnsi="宋体" w:cs="宋体"/>
          <w:b w:val="0"/>
          <w:bCs w:val="0"/>
          <w:sz w:val="21"/>
          <w:szCs w:val="21"/>
          <w:lang w:val="en-US" w:eastAsia="zh-CN"/>
        </w:rPr>
        <w:t>10</w:t>
      </w:r>
      <w:r>
        <w:rPr>
          <w:rFonts w:hint="eastAsia" w:ascii="宋体" w:hAnsi="宋体" w:eastAsia="宋体" w:cs="宋体"/>
          <w:b w:val="0"/>
          <w:bCs w:val="0"/>
          <w:sz w:val="21"/>
          <w:szCs w:val="21"/>
        </w:rPr>
        <w:t xml:space="preserve">时 </w:t>
      </w:r>
      <w:r>
        <w:rPr>
          <w:rFonts w:hint="eastAsia" w:ascii="宋体" w:hAnsi="宋体" w:cs="宋体"/>
          <w:b w:val="0"/>
          <w:bCs w:val="0"/>
          <w:sz w:val="21"/>
          <w:szCs w:val="21"/>
          <w:lang w:val="en-US" w:eastAsia="zh-CN"/>
        </w:rPr>
        <w:t>00</w:t>
      </w:r>
      <w:r>
        <w:rPr>
          <w:rFonts w:hint="eastAsia" w:ascii="宋体" w:hAnsi="宋体" w:eastAsia="宋体" w:cs="宋体"/>
          <w:b w:val="0"/>
          <w:bCs w:val="0"/>
          <w:sz w:val="21"/>
          <w:szCs w:val="21"/>
        </w:rPr>
        <w:t>分（北京时间）。电子投标文件(*.ZZTF格式)须在投标截止时间前加密上传。</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5.3加密电子投标文件递交地点：郑州市公共资源交易中心（http://www.zzsggzy.com/）电子交易平台。开标地点：郑州市公共资源交易中心六楼 </w:t>
      </w:r>
      <w:r>
        <w:rPr>
          <w:rFonts w:hint="eastAsia" w:ascii="宋体" w:hAnsi="宋体" w:cs="宋体"/>
          <w:b w:val="0"/>
          <w:bCs w:val="0"/>
          <w:sz w:val="21"/>
          <w:szCs w:val="21"/>
          <w:lang w:val="en-US" w:eastAsia="zh-CN"/>
        </w:rPr>
        <w:t>B</w:t>
      </w:r>
      <w:r>
        <w:rPr>
          <w:rFonts w:hint="eastAsia" w:ascii="宋体" w:hAnsi="宋体" w:eastAsia="宋体" w:cs="宋体"/>
          <w:b w:val="0"/>
          <w:bCs w:val="0"/>
          <w:sz w:val="21"/>
          <w:szCs w:val="21"/>
        </w:rPr>
        <w:t>区第</w:t>
      </w:r>
      <w:r>
        <w:rPr>
          <w:rFonts w:hint="eastAsia" w:ascii="宋体" w:hAnsi="宋体" w:cs="宋体"/>
          <w:b w:val="0"/>
          <w:bCs w:val="0"/>
          <w:sz w:val="21"/>
          <w:szCs w:val="21"/>
          <w:lang w:eastAsia="zh-CN"/>
        </w:rPr>
        <w:t>二十</w:t>
      </w:r>
      <w:r>
        <w:rPr>
          <w:rFonts w:hint="eastAsia" w:ascii="宋体" w:hAnsi="宋体" w:eastAsia="宋体" w:cs="宋体"/>
          <w:b w:val="0"/>
          <w:bCs w:val="0"/>
          <w:sz w:val="21"/>
          <w:szCs w:val="21"/>
        </w:rPr>
        <w:t>开标室（中原西路与图强路交叉口郑发大厦六楼）。</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5.4投标人须使用电子交易系统提供的投标文件制作工具进行电子投标文件的制作，并按要求上传经CA数字证书签章和加密的电子投标文件（.ZZTF格式）。加密电子投标文件逾期上传的，招标人不予受理。</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5.5开标时，各投标人需携带本单位CA数字证书（制作投标文件时所使用的CA数字证书）在开标现场进行文件解密工作。</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default"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5.6 本项目不接受纸质版投标文件。</w:t>
      </w: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6.发布公告的媒介</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本次招标公告同时在《中国招标投标公共服务平台》、《郑州市交通运输局网站》、《郑州市公共资源交易中心》、《河南省电子招标投标公共服务平台》上发布。</w:t>
      </w:r>
    </w:p>
    <w:p>
      <w:pPr>
        <w:keepNext w:val="0"/>
        <w:keepLines w:val="0"/>
        <w:pageBreakBefore w:val="0"/>
        <w:widowControl w:val="0"/>
        <w:kinsoku/>
        <w:wordWrap w:val="0"/>
        <w:overflowPunct/>
        <w:topLinePunct w:val="0"/>
        <w:autoSpaceDE/>
        <w:autoSpaceDN/>
        <w:bidi w:val="0"/>
        <w:adjustRightInd/>
        <w:snapToGrid/>
        <w:spacing w:line="420" w:lineRule="exac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7.联系方式</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招 标 人：郑州市公路事业发展中心</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地    址：郑州市航海西路28号</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联 系 人：娄先生</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电    话：0371-68995128</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代理机构：中海建国际招标有限责任公司</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地    址：郑州市航海路与第六大街商鼎创业大厦6楼</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联 系 人：张女士</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 xml:space="preserve">电    话：0371-55062699 </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监督部门：郑州市交通运输局</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地    址：郑州市工人南路165号</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电    话：0371-67178870</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传    真：/</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电子邮箱：zzsjtwgcc@163.com</w:t>
      </w:r>
    </w:p>
    <w:p>
      <w:pPr>
        <w:keepNext w:val="0"/>
        <w:keepLines w:val="0"/>
        <w:pageBreakBefore w:val="0"/>
        <w:widowControl w:val="0"/>
        <w:kinsoku/>
        <w:wordWrap w:val="0"/>
        <w:overflowPunct/>
        <w:topLinePunct w:val="0"/>
        <w:autoSpaceDE/>
        <w:autoSpaceDN/>
        <w:bidi w:val="0"/>
        <w:adjustRightInd/>
        <w:snapToGrid/>
        <w:spacing w:line="420" w:lineRule="exact"/>
        <w:ind w:firstLine="420" w:firstLineChars="200"/>
        <w:textAlignment w:val="auto"/>
        <w:rPr>
          <w:rFonts w:hint="eastAsia" w:ascii="宋体" w:hAnsi="宋体" w:eastAsia="宋体" w:cs="宋体"/>
          <w:b w:val="0"/>
          <w:bCs w:val="0"/>
          <w:sz w:val="21"/>
          <w:szCs w:val="21"/>
        </w:rPr>
      </w:pPr>
    </w:p>
    <w:p>
      <w:pPr>
        <w:keepNext w:val="0"/>
        <w:keepLines w:val="0"/>
        <w:pageBreakBefore w:val="0"/>
        <w:widowControl w:val="0"/>
        <w:kinsoku/>
        <w:wordWrap w:val="0"/>
        <w:overflowPunct/>
        <w:topLinePunct w:val="0"/>
        <w:autoSpaceDE/>
        <w:autoSpaceDN/>
        <w:bidi w:val="0"/>
        <w:adjustRightInd/>
        <w:snapToGrid/>
        <w:spacing w:line="420" w:lineRule="exact"/>
        <w:ind w:firstLine="6510" w:firstLineChars="3100"/>
        <w:jc w:val="both"/>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2020年</w:t>
      </w:r>
      <w:r>
        <w:rPr>
          <w:rFonts w:hint="eastAsia" w:ascii="宋体" w:hAnsi="宋体" w:cs="宋体"/>
          <w:b w:val="0"/>
          <w:bCs w:val="0"/>
          <w:sz w:val="21"/>
          <w:szCs w:val="21"/>
          <w:lang w:val="en-US" w:eastAsia="zh-CN"/>
        </w:rPr>
        <w:t>8</w:t>
      </w:r>
      <w:r>
        <w:rPr>
          <w:rFonts w:hint="eastAsia" w:ascii="宋体" w:hAnsi="宋体" w:eastAsia="宋体" w:cs="宋体"/>
          <w:b w:val="0"/>
          <w:bCs w:val="0"/>
          <w:sz w:val="21"/>
          <w:szCs w:val="21"/>
        </w:rPr>
        <w:t>月</w:t>
      </w:r>
      <w:r>
        <w:rPr>
          <w:rFonts w:hint="eastAsia" w:ascii="宋体" w:hAnsi="宋体" w:cs="宋体"/>
          <w:b w:val="0"/>
          <w:bCs w:val="0"/>
          <w:sz w:val="21"/>
          <w:szCs w:val="21"/>
          <w:lang w:val="en-US" w:eastAsia="zh-CN"/>
        </w:rPr>
        <w:t>28</w:t>
      </w:r>
      <w:r>
        <w:rPr>
          <w:rFonts w:hint="eastAsia" w:ascii="宋体" w:hAnsi="宋体" w:eastAsia="宋体" w:cs="宋体"/>
          <w:b w:val="0"/>
          <w:bCs w:val="0"/>
          <w:sz w:val="21"/>
          <w:szCs w:val="21"/>
        </w:rPr>
        <w:t>日</w:t>
      </w:r>
    </w:p>
    <w:p>
      <w:pPr>
        <w:keepNext w:val="0"/>
        <w:keepLines w:val="0"/>
        <w:pageBreakBefore w:val="0"/>
        <w:widowControl w:val="0"/>
        <w:kinsoku/>
        <w:overflowPunct/>
        <w:topLinePunct w:val="0"/>
        <w:autoSpaceDE/>
        <w:autoSpaceDN/>
        <w:bidi w:val="0"/>
        <w:adjustRightInd/>
        <w:snapToGrid/>
        <w:spacing w:line="420" w:lineRule="exact"/>
        <w:textAlignment w:val="auto"/>
        <w:rPr>
          <w:rFonts w:hint="eastAsia" w:ascii="宋体" w:hAnsi="宋体" w:eastAsia="宋体" w:cs="宋体"/>
          <w:b w:val="0"/>
          <w:bCs w:val="0"/>
          <w:sz w:val="21"/>
          <w:szCs w:val="21"/>
        </w:rPr>
      </w:pPr>
    </w:p>
    <w:sectPr>
      <w:pgSz w:w="11906" w:h="16838"/>
      <w:pgMar w:top="1270" w:right="1576" w:bottom="127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90BDE"/>
    <w:rsid w:val="0D994310"/>
    <w:rsid w:val="0FAF48BD"/>
    <w:rsid w:val="10C91C72"/>
    <w:rsid w:val="165C4AEE"/>
    <w:rsid w:val="21E1583D"/>
    <w:rsid w:val="25C36E01"/>
    <w:rsid w:val="2B6C39C6"/>
    <w:rsid w:val="39E522BC"/>
    <w:rsid w:val="4D4A0004"/>
    <w:rsid w:val="503F39D5"/>
    <w:rsid w:val="51D37B1C"/>
    <w:rsid w:val="733A7891"/>
    <w:rsid w:val="73FF5E32"/>
    <w:rsid w:val="7DF87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style>
  <w:style w:type="character" w:styleId="5">
    <w:name w:val="FollowedHyperlink"/>
    <w:basedOn w:val="3"/>
    <w:qFormat/>
    <w:uiPriority w:val="0"/>
    <w:rPr>
      <w:color w:val="800080"/>
      <w:u w:val="none"/>
    </w:rPr>
  </w:style>
  <w:style w:type="character" w:styleId="6">
    <w:name w:val="Emphasis"/>
    <w:basedOn w:val="3"/>
    <w:qFormat/>
    <w:uiPriority w:val="0"/>
  </w:style>
  <w:style w:type="character" w:styleId="7">
    <w:name w:val="HTML Definition"/>
    <w:basedOn w:val="3"/>
    <w:uiPriority w:val="0"/>
  </w:style>
  <w:style w:type="character" w:styleId="8">
    <w:name w:val="HTML Typewriter"/>
    <w:basedOn w:val="3"/>
    <w:uiPriority w:val="0"/>
    <w:rPr>
      <w:rFonts w:ascii="monospace" w:hAnsi="monospace" w:eastAsia="monospace" w:cs="monospace"/>
      <w:sz w:val="20"/>
    </w:rPr>
  </w:style>
  <w:style w:type="character" w:styleId="9">
    <w:name w:val="HTML Acronym"/>
    <w:basedOn w:val="3"/>
    <w:uiPriority w:val="0"/>
  </w:style>
  <w:style w:type="character" w:styleId="10">
    <w:name w:val="HTML Variable"/>
    <w:basedOn w:val="3"/>
    <w:uiPriority w:val="0"/>
  </w:style>
  <w:style w:type="character" w:styleId="11">
    <w:name w:val="Hyperlink"/>
    <w:basedOn w:val="3"/>
    <w:qFormat/>
    <w:uiPriority w:val="0"/>
    <w:rPr>
      <w:color w:val="0000FF"/>
      <w:u w:val="none"/>
    </w:rPr>
  </w:style>
  <w:style w:type="character" w:styleId="12">
    <w:name w:val="HTML Code"/>
    <w:basedOn w:val="3"/>
    <w:qFormat/>
    <w:uiPriority w:val="0"/>
    <w:rPr>
      <w:rFonts w:hint="default" w:ascii="monospace" w:hAnsi="monospace" w:eastAsia="monospace" w:cs="monospace"/>
      <w:sz w:val="20"/>
    </w:rPr>
  </w:style>
  <w:style w:type="character" w:styleId="13">
    <w:name w:val="HTML Cite"/>
    <w:basedOn w:val="3"/>
    <w:uiPriority w:val="0"/>
  </w:style>
  <w:style w:type="character" w:styleId="14">
    <w:name w:val="HTML Keyboard"/>
    <w:basedOn w:val="3"/>
    <w:qFormat/>
    <w:uiPriority w:val="0"/>
    <w:rPr>
      <w:rFonts w:hint="default" w:ascii="monospace" w:hAnsi="monospace" w:eastAsia="monospace" w:cs="monospace"/>
      <w:sz w:val="20"/>
    </w:rPr>
  </w:style>
  <w:style w:type="character" w:styleId="15">
    <w:name w:val="HTML Sample"/>
    <w:basedOn w:val="3"/>
    <w:qFormat/>
    <w:uiPriority w:val="0"/>
    <w:rPr>
      <w:rFonts w:hint="default"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2020-08-28T02:10:06Z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