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36"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国道310线郑州西南段改建工程机电工程</w:t>
      </w:r>
      <w:r>
        <w:rPr>
          <w:rFonts w:hint="eastAsia" w:ascii="宋体" w:hAnsi="宋体" w:eastAsia="宋体" w:cs="宋体"/>
          <w:b w:val="0"/>
          <w:bCs w:val="0"/>
          <w:color w:val="auto"/>
          <w:sz w:val="28"/>
          <w:szCs w:val="28"/>
          <w:highlight w:val="none"/>
        </w:rPr>
        <w:t>施工招标公告</w:t>
      </w:r>
    </w:p>
    <w:p>
      <w:pPr>
        <w:keepNext w:val="0"/>
        <w:keepLines w:val="0"/>
        <w:pageBreakBefore w:val="0"/>
        <w:widowControl w:val="0"/>
        <w:kinsoku/>
        <w:wordWrap w:val="0"/>
        <w:overflowPunct/>
        <w:topLinePunct w:val="0"/>
        <w:autoSpaceDE/>
        <w:autoSpaceDN/>
        <w:bidi w:val="0"/>
        <w:adjustRightInd/>
        <w:snapToGrid/>
        <w:spacing w:line="436" w:lineRule="exact"/>
        <w:jc w:val="center"/>
        <w:textAlignment w:val="auto"/>
        <w:rPr>
          <w:rFonts w:hint="eastAsia" w:ascii="宋体" w:hAnsi="宋体" w:eastAsia="宋体" w:cs="宋体"/>
          <w:b w:val="0"/>
          <w:bCs w:val="0"/>
          <w:color w:val="auto"/>
          <w:sz w:val="28"/>
          <w:szCs w:val="28"/>
          <w:highlight w:val="none"/>
        </w:rPr>
      </w:pP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1.招标条件</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szCs w:val="21"/>
          <w:highlight w:val="none"/>
        </w:rPr>
      </w:pPr>
      <w:r>
        <w:rPr>
          <w:rFonts w:hint="eastAsia" w:ascii="宋体" w:hAnsi="宋体" w:eastAsia="宋体" w:cs="宋体"/>
          <w:szCs w:val="21"/>
          <w:highlight w:val="none"/>
        </w:rPr>
        <w:t>　</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本招标项目国道310线郑州西南段改建工程已由郑州市发展和改革委员会以郑发改基础[2017]695号批准建设，施工图设计已由</w:t>
      </w:r>
      <w:r>
        <w:rPr>
          <w:rFonts w:hint="eastAsia" w:ascii="宋体" w:hAnsi="宋体" w:eastAsia="宋体" w:cs="宋体"/>
          <w:szCs w:val="21"/>
          <w:highlight w:val="none"/>
          <w:lang w:eastAsia="zh-CN"/>
        </w:rPr>
        <w:t>河南省交通运输厅以豫交规划函</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20</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44号、</w:t>
      </w:r>
      <w:r>
        <w:rPr>
          <w:rFonts w:hint="eastAsia" w:ascii="宋体" w:hAnsi="宋体" w:eastAsia="宋体" w:cs="宋体"/>
          <w:szCs w:val="21"/>
          <w:highlight w:val="none"/>
        </w:rPr>
        <w:t>郑州市交通运输局以郑交</w:t>
      </w:r>
      <w:r>
        <w:rPr>
          <w:rFonts w:hint="eastAsia" w:ascii="宋体" w:hAnsi="宋体" w:eastAsia="宋体" w:cs="宋体"/>
          <w:szCs w:val="21"/>
          <w:highlight w:val="none"/>
          <w:lang w:eastAsia="zh-CN"/>
        </w:rPr>
        <w:t>发</w:t>
      </w:r>
      <w:r>
        <w:rPr>
          <w:rFonts w:hint="eastAsia" w:ascii="宋体" w:hAnsi="宋体" w:eastAsia="宋体" w:cs="宋体"/>
          <w:szCs w:val="21"/>
          <w:highlight w:val="none"/>
        </w:rPr>
        <w:t>[20</w:t>
      </w:r>
      <w:r>
        <w:rPr>
          <w:rFonts w:hint="eastAsia" w:ascii="宋体" w:hAnsi="宋体" w:eastAsia="宋体" w:cs="宋体"/>
          <w:szCs w:val="21"/>
          <w:highlight w:val="none"/>
          <w:lang w:val="en-US" w:eastAsia="zh-CN"/>
        </w:rPr>
        <w:t>21</w:t>
      </w:r>
      <w:r>
        <w:rPr>
          <w:rFonts w:hint="eastAsia" w:ascii="宋体" w:hAnsi="宋体" w:eastAsia="宋体" w:cs="宋体"/>
          <w:szCs w:val="21"/>
          <w:highlight w:val="none"/>
        </w:rPr>
        <w:t>]</w:t>
      </w:r>
      <w:r>
        <w:rPr>
          <w:rFonts w:hint="eastAsia" w:ascii="宋体" w:hAnsi="宋体" w:eastAsia="宋体" w:cs="宋体"/>
          <w:szCs w:val="21"/>
          <w:highlight w:val="none"/>
          <w:lang w:val="en-US" w:eastAsia="zh-CN"/>
        </w:rPr>
        <w:t>142</w:t>
      </w:r>
      <w:r>
        <w:rPr>
          <w:rFonts w:hint="eastAsia" w:ascii="宋体" w:hAnsi="宋体" w:eastAsia="宋体" w:cs="宋体"/>
          <w:szCs w:val="21"/>
          <w:highlight w:val="none"/>
        </w:rPr>
        <w:t>号批准，项目业主为郑州市公路建设重点工程管理处，建设资金来自财政资金，出资比例为100%，招标人为郑州市公路建设重点工程管理处。项目已具备招标条件，现对该项目</w:t>
      </w:r>
      <w:r>
        <w:rPr>
          <w:rFonts w:hint="eastAsia" w:ascii="宋体" w:hAnsi="宋体" w:eastAsia="宋体" w:cs="宋体"/>
          <w:szCs w:val="21"/>
          <w:highlight w:val="none"/>
          <w:lang w:eastAsia="zh-CN"/>
        </w:rPr>
        <w:t>机电</w:t>
      </w:r>
      <w:r>
        <w:rPr>
          <w:rFonts w:hint="eastAsia" w:ascii="宋体" w:hAnsi="宋体" w:eastAsia="宋体" w:cs="宋体"/>
          <w:szCs w:val="21"/>
          <w:highlight w:val="none"/>
        </w:rPr>
        <w:t>工程</w:t>
      </w:r>
      <w:r>
        <w:rPr>
          <w:rFonts w:hint="eastAsia" w:ascii="宋体" w:hAnsi="宋体" w:eastAsia="宋体" w:cs="宋体"/>
          <w:szCs w:val="21"/>
          <w:highlight w:val="none"/>
          <w:lang w:eastAsia="zh-CN"/>
        </w:rPr>
        <w:t>施工</w:t>
      </w:r>
      <w:r>
        <w:rPr>
          <w:rFonts w:hint="eastAsia" w:ascii="宋体" w:hAnsi="宋体" w:eastAsia="宋体" w:cs="宋体"/>
          <w:szCs w:val="21"/>
          <w:highlight w:val="none"/>
        </w:rPr>
        <w:t>进行公开招标。</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2.项目概况与招标范围</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2.1项目位置及建设规模</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lang w:val="en-US" w:eastAsia="zh-CN"/>
        </w:rPr>
        <w:t>2.1.1</w:t>
      </w:r>
      <w:r>
        <w:rPr>
          <w:rFonts w:hint="eastAsia" w:ascii="宋体" w:hAnsi="宋体" w:eastAsia="宋体" w:cs="宋体"/>
          <w:szCs w:val="21"/>
          <w:highlight w:val="none"/>
          <w:lang w:eastAsia="zh-CN"/>
        </w:rPr>
        <w:t>该</w:t>
      </w:r>
      <w:r>
        <w:rPr>
          <w:rFonts w:hint="eastAsia" w:ascii="宋体" w:hAnsi="宋体" w:eastAsia="宋体" w:cs="宋体"/>
          <w:szCs w:val="21"/>
          <w:highlight w:val="none"/>
        </w:rPr>
        <w:t>项目位于郑州市南部，起点接国道310中牟境改建工程终点，向西依次途经郑州市管城区、新郑市、二七区、新密市、荥阳市，终点止于荥阳市与巩义市交界处</w:t>
      </w:r>
      <w:r>
        <w:rPr>
          <w:rFonts w:hint="eastAsia" w:ascii="宋体" w:hAnsi="宋体" w:eastAsia="宋体" w:cs="宋体"/>
          <w:szCs w:val="21"/>
          <w:highlight w:val="none"/>
          <w:lang w:val="en-US" w:eastAsia="zh-CN"/>
        </w:rPr>
        <w:t xml:space="preserve"> </w:t>
      </w:r>
      <w:r>
        <w:rPr>
          <w:rFonts w:hint="eastAsia" w:ascii="宋体" w:hAnsi="宋体" w:eastAsia="宋体" w:cs="宋体"/>
          <w:szCs w:val="21"/>
          <w:highlight w:val="none"/>
        </w:rPr>
        <w:t>，路线全长52.745公里。</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该项目的机电工程包括养护工区、停车区及道路沿线的监控系统、通信系统。</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rPr>
      </w:pPr>
      <w:r>
        <w:rPr>
          <w:rFonts w:hint="eastAsia" w:ascii="宋体" w:hAnsi="宋体" w:eastAsia="宋体" w:cs="宋体"/>
          <w:szCs w:val="21"/>
          <w:highlight w:val="none"/>
        </w:rPr>
        <w:t>该项目的供配电照明工程包括养护工区的房建变电所、</w:t>
      </w:r>
      <w:r>
        <w:rPr>
          <w:rFonts w:hint="eastAsia" w:ascii="宋体" w:hAnsi="宋体" w:eastAsia="宋体" w:cs="宋体"/>
          <w:szCs w:val="21"/>
          <w:highlight w:val="none"/>
          <w:lang w:eastAsia="zh-CN"/>
        </w:rPr>
        <w:t>10kV</w:t>
      </w:r>
      <w:r>
        <w:rPr>
          <w:rFonts w:hint="eastAsia" w:ascii="宋体" w:hAnsi="宋体" w:eastAsia="宋体" w:cs="宋体"/>
          <w:szCs w:val="21"/>
          <w:highlight w:val="none"/>
        </w:rPr>
        <w:t>供电线路，以及停车区、祥云路高架桥段的箱式变电站、</w:t>
      </w:r>
      <w:r>
        <w:rPr>
          <w:rFonts w:hint="eastAsia" w:ascii="宋体" w:hAnsi="宋体" w:eastAsia="宋体" w:cs="宋体"/>
          <w:szCs w:val="21"/>
          <w:highlight w:val="none"/>
          <w:lang w:eastAsia="zh-CN"/>
        </w:rPr>
        <w:t>10kV</w:t>
      </w:r>
      <w:r>
        <w:rPr>
          <w:rFonts w:hint="eastAsia" w:ascii="宋体" w:hAnsi="宋体" w:eastAsia="宋体" w:cs="宋体"/>
          <w:szCs w:val="21"/>
          <w:highlight w:val="none"/>
        </w:rPr>
        <w:t>供电线路、照明设施。</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lang w:val="en-US" w:eastAsia="zh-CN"/>
        </w:rPr>
      </w:pPr>
      <w:r>
        <w:rPr>
          <w:rFonts w:hint="eastAsia" w:ascii="宋体" w:hAnsi="宋体" w:eastAsia="宋体" w:cs="宋体"/>
          <w:szCs w:val="21"/>
          <w:highlight w:val="none"/>
          <w:lang w:val="en-US" w:eastAsia="zh-CN"/>
        </w:rPr>
        <w:t>2.1.2</w:t>
      </w:r>
      <w:r>
        <w:rPr>
          <w:rFonts w:hint="eastAsia" w:ascii="宋体" w:hAnsi="宋体" w:eastAsia="宋体" w:cs="宋体"/>
          <w:szCs w:val="21"/>
          <w:highlight w:val="none"/>
          <w:lang w:eastAsia="zh-CN"/>
        </w:rPr>
        <w:t>该项目路线在新密境与郑少高速公路交叉处（</w:t>
      </w:r>
      <w:r>
        <w:rPr>
          <w:rFonts w:hint="eastAsia" w:ascii="宋体" w:hAnsi="宋体" w:eastAsia="宋体" w:cs="宋体"/>
          <w:szCs w:val="21"/>
          <w:highlight w:val="none"/>
          <w:lang w:val="en-US" w:eastAsia="zh-CN"/>
        </w:rPr>
        <w:t>高庙互通式立交）</w:t>
      </w:r>
      <w:r>
        <w:rPr>
          <w:rFonts w:hint="eastAsia" w:ascii="宋体" w:hAnsi="宋体" w:eastAsia="宋体" w:cs="宋体"/>
          <w:szCs w:val="21"/>
          <w:highlight w:val="none"/>
          <w:lang w:eastAsia="zh-CN"/>
        </w:rPr>
        <w:t>，采用双喇叭互通式立交方案，收费站位于郑少高速公路东北侧。机电工程主要为互通式立交机电工程以及10kV供电线路工程，其中机电工程主要为收费站区的监控、通信、收费、供电照明系统、10kV外接电及相关土建工程。</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2.</w:t>
      </w:r>
      <w:r>
        <w:rPr>
          <w:rFonts w:hint="eastAsia" w:ascii="宋体" w:hAnsi="宋体" w:eastAsia="宋体" w:cs="宋体"/>
          <w:szCs w:val="21"/>
          <w:highlight w:val="none"/>
          <w:lang w:val="en-US" w:eastAsia="zh-CN"/>
        </w:rPr>
        <w:t>2</w:t>
      </w:r>
      <w:r>
        <w:rPr>
          <w:rFonts w:hint="eastAsia" w:ascii="宋体" w:hAnsi="宋体" w:eastAsia="宋体" w:cs="宋体"/>
          <w:szCs w:val="21"/>
          <w:highlight w:val="none"/>
          <w:lang w:eastAsia="zh-CN"/>
        </w:rPr>
        <w:t>计划工期：</w:t>
      </w:r>
      <w:r>
        <w:rPr>
          <w:rFonts w:hint="eastAsia" w:ascii="宋体" w:hAnsi="宋体" w:eastAsia="宋体" w:cs="宋体"/>
          <w:szCs w:val="21"/>
          <w:highlight w:val="none"/>
          <w:lang w:val="en-US" w:eastAsia="zh-CN"/>
        </w:rPr>
        <w:t>4</w:t>
      </w:r>
      <w:r>
        <w:rPr>
          <w:rFonts w:hint="eastAsia" w:ascii="宋体" w:hAnsi="宋体" w:eastAsia="宋体" w:cs="宋体"/>
          <w:szCs w:val="21"/>
          <w:highlight w:val="none"/>
          <w:lang w:eastAsia="zh-CN"/>
        </w:rPr>
        <w:t>个月；工程缺陷责任期</w:t>
      </w:r>
      <w:r>
        <w:rPr>
          <w:rFonts w:hint="eastAsia" w:ascii="宋体" w:hAnsi="宋体" w:eastAsia="宋体" w:cs="宋体"/>
          <w:szCs w:val="21"/>
          <w:highlight w:val="none"/>
          <w:lang w:val="en-US" w:eastAsia="zh-CN"/>
        </w:rPr>
        <w:t>24</w:t>
      </w:r>
      <w:r>
        <w:rPr>
          <w:rFonts w:hint="eastAsia" w:ascii="宋体" w:hAnsi="宋体" w:eastAsia="宋体" w:cs="宋体"/>
          <w:szCs w:val="21"/>
          <w:highlight w:val="none"/>
          <w:lang w:eastAsia="zh-CN"/>
        </w:rPr>
        <w:t>个月。</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2.</w:t>
      </w:r>
      <w:r>
        <w:rPr>
          <w:rFonts w:hint="eastAsia" w:ascii="宋体" w:hAnsi="宋体" w:eastAsia="宋体" w:cs="宋体"/>
          <w:szCs w:val="21"/>
          <w:highlight w:val="none"/>
          <w:lang w:val="en-US" w:eastAsia="zh-CN"/>
        </w:rPr>
        <w:t>3</w:t>
      </w:r>
      <w:r>
        <w:rPr>
          <w:rFonts w:hint="eastAsia" w:ascii="宋体" w:hAnsi="宋体" w:eastAsia="宋体" w:cs="宋体"/>
          <w:szCs w:val="21"/>
          <w:highlight w:val="none"/>
          <w:lang w:eastAsia="zh-CN"/>
        </w:rPr>
        <w:t>招标范围及标段划分：</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szCs w:val="21"/>
          <w:highlight w:val="none"/>
          <w:lang w:eastAsia="zh-CN"/>
        </w:rPr>
      </w:pPr>
      <w:r>
        <w:rPr>
          <w:rFonts w:hint="eastAsia" w:ascii="宋体" w:hAnsi="宋体" w:eastAsia="宋体" w:cs="宋体"/>
          <w:szCs w:val="21"/>
          <w:highlight w:val="none"/>
          <w:lang w:eastAsia="zh-CN"/>
        </w:rPr>
        <w:t>本次施工招标范围包括机电、供配电（含10kV线路工程）、照明等工程，详见招标图纸及工程量清单里的所有内容。本次招标划分为5个标段：</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48"/>
        <w:gridCol w:w="3200"/>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0" w:hRule="exact"/>
          <w:jc w:val="center"/>
        </w:trPr>
        <w:tc>
          <w:tcPr>
            <w:tcW w:w="948"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eastAsia="zh-CN"/>
              </w:rPr>
              <w:t>标段号</w:t>
            </w:r>
          </w:p>
        </w:tc>
        <w:tc>
          <w:tcPr>
            <w:tcW w:w="3200" w:type="dxa"/>
            <w:vAlign w:val="center"/>
          </w:tcPr>
          <w:p>
            <w:pPr>
              <w:pStyle w:val="2"/>
              <w:jc w:val="center"/>
              <w:rPr>
                <w:rFonts w:hint="eastAsia"/>
                <w:sz w:val="21"/>
                <w:szCs w:val="21"/>
                <w:vertAlign w:val="baseline"/>
                <w:lang w:eastAsia="zh-CN"/>
              </w:rPr>
            </w:pPr>
            <w:r>
              <w:rPr>
                <w:rFonts w:hint="eastAsia"/>
                <w:sz w:val="21"/>
                <w:szCs w:val="21"/>
                <w:vertAlign w:val="baseline"/>
                <w:lang w:eastAsia="zh-CN"/>
              </w:rPr>
              <w:t>起讫桩号</w:t>
            </w:r>
          </w:p>
        </w:tc>
        <w:tc>
          <w:tcPr>
            <w:tcW w:w="4374" w:type="dxa"/>
            <w:vAlign w:val="center"/>
          </w:tcPr>
          <w:p>
            <w:pPr>
              <w:pStyle w:val="2"/>
              <w:jc w:val="center"/>
              <w:rPr>
                <w:rFonts w:hint="eastAsia"/>
                <w:sz w:val="21"/>
                <w:szCs w:val="21"/>
                <w:vertAlign w:val="baseline"/>
                <w:lang w:eastAsia="zh-CN"/>
              </w:rPr>
            </w:pPr>
            <w:r>
              <w:rPr>
                <w:rFonts w:hint="eastAsia"/>
                <w:sz w:val="21"/>
                <w:szCs w:val="21"/>
                <w:vertAlign w:val="baseline"/>
                <w:lang w:eastAsia="zh-CN"/>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40" w:hRule="exact"/>
          <w:jc w:val="center"/>
        </w:trPr>
        <w:tc>
          <w:tcPr>
            <w:tcW w:w="948" w:type="dxa"/>
            <w:vAlign w:val="center"/>
          </w:tcPr>
          <w:p>
            <w:pPr>
              <w:pStyle w:val="2"/>
              <w:ind w:left="0" w:leftChars="0" w:firstLine="0" w:firstLineChars="0"/>
              <w:jc w:val="center"/>
              <w:rPr>
                <w:rFonts w:hint="default"/>
                <w:sz w:val="21"/>
                <w:szCs w:val="21"/>
                <w:vertAlign w:val="baseline"/>
                <w:lang w:val="en-US" w:eastAsia="zh-CN"/>
              </w:rPr>
            </w:pPr>
            <w:r>
              <w:rPr>
                <w:rFonts w:hint="eastAsia"/>
                <w:sz w:val="21"/>
                <w:szCs w:val="21"/>
                <w:vertAlign w:val="baseline"/>
                <w:lang w:val="en-US" w:eastAsia="zh-CN"/>
              </w:rPr>
              <w:t>JD-1</w:t>
            </w:r>
          </w:p>
        </w:tc>
        <w:tc>
          <w:tcPr>
            <w:tcW w:w="3200"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K38+261.625 ~ K55+800</w:t>
            </w:r>
          </w:p>
        </w:tc>
        <w:tc>
          <w:tcPr>
            <w:tcW w:w="4374"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道路监控</w:t>
            </w:r>
            <w:r>
              <w:rPr>
                <w:rFonts w:hint="eastAsia" w:ascii="宋体" w:hAnsi="宋体" w:eastAsia="宋体" w:cs="宋体"/>
                <w:sz w:val="21"/>
                <w:szCs w:val="21"/>
                <w:highlight w:val="none"/>
                <w:lang w:eastAsia="zh-CN"/>
              </w:rPr>
              <w:t>系统</w:t>
            </w:r>
            <w:r>
              <w:rPr>
                <w:rFonts w:hint="eastAsia" w:ascii="宋体" w:hAnsi="宋体" w:eastAsia="宋体" w:cs="宋体"/>
                <w:sz w:val="21"/>
                <w:szCs w:val="21"/>
                <w:highlight w:val="none"/>
              </w:rPr>
              <w:t>、通信</w:t>
            </w:r>
            <w:r>
              <w:rPr>
                <w:rFonts w:hint="eastAsia" w:ascii="宋体" w:hAnsi="宋体" w:eastAsia="宋体" w:cs="宋体"/>
                <w:sz w:val="21"/>
                <w:szCs w:val="21"/>
                <w:highlight w:val="none"/>
                <w:lang w:eastAsia="zh-CN"/>
              </w:rPr>
              <w:t>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exact"/>
          <w:jc w:val="center"/>
        </w:trPr>
        <w:tc>
          <w:tcPr>
            <w:tcW w:w="948"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val="en-US" w:eastAsia="zh-CN"/>
              </w:rPr>
              <w:t>JD-2</w:t>
            </w:r>
          </w:p>
        </w:tc>
        <w:tc>
          <w:tcPr>
            <w:tcW w:w="3200"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K55+800～K90+830</w:t>
            </w:r>
          </w:p>
        </w:tc>
        <w:tc>
          <w:tcPr>
            <w:tcW w:w="4374"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道路监控</w:t>
            </w:r>
            <w:r>
              <w:rPr>
                <w:rFonts w:hint="eastAsia" w:ascii="宋体" w:hAnsi="宋体" w:eastAsia="宋体" w:cs="宋体"/>
                <w:sz w:val="21"/>
                <w:szCs w:val="21"/>
                <w:highlight w:val="none"/>
                <w:lang w:eastAsia="zh-CN"/>
              </w:rPr>
              <w:t>系统</w:t>
            </w:r>
            <w:r>
              <w:rPr>
                <w:rFonts w:hint="eastAsia" w:ascii="宋体" w:hAnsi="宋体" w:eastAsia="宋体" w:cs="宋体"/>
                <w:sz w:val="21"/>
                <w:szCs w:val="21"/>
                <w:highlight w:val="none"/>
              </w:rPr>
              <w:t>、通信</w:t>
            </w:r>
            <w:r>
              <w:rPr>
                <w:rFonts w:hint="eastAsia" w:ascii="宋体" w:hAnsi="宋体" w:eastAsia="宋体" w:cs="宋体"/>
                <w:sz w:val="21"/>
                <w:szCs w:val="21"/>
                <w:highlight w:val="none"/>
                <w:lang w:eastAsia="zh-CN"/>
              </w:rPr>
              <w:t>系统等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680" w:hRule="exact"/>
          <w:jc w:val="center"/>
        </w:trPr>
        <w:tc>
          <w:tcPr>
            <w:tcW w:w="948"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val="en-US" w:eastAsia="zh-CN"/>
              </w:rPr>
              <w:t>JD-3</w:t>
            </w:r>
          </w:p>
        </w:tc>
        <w:tc>
          <w:tcPr>
            <w:tcW w:w="3200"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高庙互通</w:t>
            </w:r>
            <w:r>
              <w:rPr>
                <w:rFonts w:hint="eastAsia" w:ascii="宋体" w:hAnsi="宋体" w:eastAsia="宋体" w:cs="宋体"/>
                <w:sz w:val="21"/>
                <w:szCs w:val="21"/>
                <w:highlight w:val="none"/>
                <w:lang w:eastAsia="zh-CN"/>
              </w:rPr>
              <w:t>立交</w:t>
            </w:r>
          </w:p>
        </w:tc>
        <w:tc>
          <w:tcPr>
            <w:tcW w:w="4374" w:type="dxa"/>
            <w:vAlign w:val="center"/>
          </w:tcPr>
          <w:p>
            <w:pPr>
              <w:pStyle w:val="2"/>
              <w:ind w:left="0" w:leftChars="0" w:firstLine="0" w:firstLineChars="0"/>
              <w:jc w:val="left"/>
              <w:rPr>
                <w:rFonts w:hint="eastAsia"/>
                <w:sz w:val="21"/>
                <w:szCs w:val="21"/>
                <w:vertAlign w:val="baseline"/>
                <w:lang w:eastAsia="zh-CN"/>
              </w:rPr>
            </w:pPr>
            <w:r>
              <w:rPr>
                <w:rFonts w:hint="eastAsia" w:ascii="宋体" w:hAnsi="宋体" w:eastAsia="宋体" w:cs="宋体"/>
                <w:sz w:val="21"/>
                <w:szCs w:val="21"/>
                <w:highlight w:val="none"/>
              </w:rPr>
              <w:t>高庙互通</w:t>
            </w:r>
            <w:r>
              <w:rPr>
                <w:rFonts w:hint="eastAsia" w:ascii="宋体" w:hAnsi="宋体" w:eastAsia="宋体" w:cs="宋体"/>
                <w:sz w:val="21"/>
                <w:szCs w:val="21"/>
                <w:highlight w:val="none"/>
                <w:lang w:eastAsia="zh-CN"/>
              </w:rPr>
              <w:t>立交范围内</w:t>
            </w:r>
            <w:r>
              <w:rPr>
                <w:rFonts w:hint="eastAsia" w:ascii="宋体" w:hAnsi="宋体" w:eastAsia="宋体" w:cs="宋体"/>
                <w:sz w:val="21"/>
                <w:szCs w:val="21"/>
                <w:highlight w:val="none"/>
              </w:rPr>
              <w:t>监控</w:t>
            </w:r>
            <w:r>
              <w:rPr>
                <w:rFonts w:hint="eastAsia" w:ascii="宋体" w:hAnsi="宋体" w:eastAsia="宋体" w:cs="宋体"/>
                <w:sz w:val="21"/>
                <w:szCs w:val="21"/>
                <w:highlight w:val="none"/>
                <w:lang w:eastAsia="zh-CN"/>
              </w:rPr>
              <w:t>系统</w:t>
            </w:r>
            <w:r>
              <w:rPr>
                <w:rFonts w:hint="eastAsia" w:ascii="宋体" w:hAnsi="宋体" w:eastAsia="宋体" w:cs="宋体"/>
                <w:sz w:val="21"/>
                <w:szCs w:val="21"/>
                <w:highlight w:val="none"/>
              </w:rPr>
              <w:t>、收费</w:t>
            </w:r>
            <w:r>
              <w:rPr>
                <w:rFonts w:hint="eastAsia" w:ascii="宋体" w:hAnsi="宋体" w:eastAsia="宋体" w:cs="宋体"/>
                <w:sz w:val="21"/>
                <w:szCs w:val="21"/>
                <w:highlight w:val="none"/>
                <w:lang w:eastAsia="zh-CN"/>
              </w:rPr>
              <w:t>系统</w:t>
            </w:r>
            <w:r>
              <w:rPr>
                <w:rFonts w:hint="eastAsia" w:ascii="宋体" w:hAnsi="宋体" w:eastAsia="宋体" w:cs="宋体"/>
                <w:sz w:val="21"/>
                <w:szCs w:val="21"/>
                <w:highlight w:val="none"/>
              </w:rPr>
              <w:t>、通信</w:t>
            </w:r>
            <w:r>
              <w:rPr>
                <w:rFonts w:hint="eastAsia" w:ascii="宋体" w:hAnsi="宋体" w:eastAsia="宋体" w:cs="宋体"/>
                <w:sz w:val="21"/>
                <w:szCs w:val="21"/>
                <w:highlight w:val="none"/>
                <w:lang w:eastAsia="zh-CN"/>
              </w:rPr>
              <w:t>系统</w:t>
            </w:r>
            <w:r>
              <w:rPr>
                <w:rFonts w:hint="eastAsia" w:ascii="宋体" w:hAnsi="宋体" w:eastAsia="宋体" w:cs="宋体"/>
                <w:sz w:val="21"/>
                <w:szCs w:val="21"/>
                <w:highlight w:val="none"/>
              </w:rPr>
              <w:t>、照明</w:t>
            </w:r>
            <w:r>
              <w:rPr>
                <w:rFonts w:hint="eastAsia" w:ascii="宋体" w:hAnsi="宋体" w:eastAsia="宋体" w:cs="宋体"/>
                <w:sz w:val="21"/>
                <w:szCs w:val="21"/>
                <w:highlight w:val="none"/>
                <w:lang w:eastAsia="zh-CN"/>
              </w:rPr>
              <w:t>系统</w:t>
            </w:r>
            <w:r>
              <w:rPr>
                <w:rFonts w:hint="eastAsia" w:ascii="宋体" w:hAnsi="宋体" w:cs="宋体"/>
                <w:sz w:val="21"/>
                <w:szCs w:val="21"/>
                <w:highlight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13" w:hRule="exact"/>
          <w:jc w:val="center"/>
        </w:trPr>
        <w:tc>
          <w:tcPr>
            <w:tcW w:w="948" w:type="dxa"/>
            <w:vAlign w:val="center"/>
          </w:tcPr>
          <w:p>
            <w:pPr>
              <w:pStyle w:val="2"/>
              <w:ind w:left="0" w:leftChars="0" w:firstLine="0" w:firstLineChars="0"/>
              <w:jc w:val="center"/>
              <w:rPr>
                <w:rFonts w:hint="eastAsia"/>
                <w:sz w:val="21"/>
                <w:szCs w:val="21"/>
                <w:vertAlign w:val="baseline"/>
                <w:lang w:eastAsia="zh-CN"/>
              </w:rPr>
            </w:pPr>
            <w:r>
              <w:rPr>
                <w:rFonts w:hint="eastAsia"/>
                <w:sz w:val="21"/>
                <w:szCs w:val="21"/>
                <w:vertAlign w:val="baseline"/>
                <w:lang w:val="en-US" w:eastAsia="zh-CN"/>
              </w:rPr>
              <w:t>JD-4</w:t>
            </w:r>
          </w:p>
        </w:tc>
        <w:tc>
          <w:tcPr>
            <w:tcW w:w="3200" w:type="dxa"/>
            <w:vAlign w:val="center"/>
          </w:tcPr>
          <w:p>
            <w:pPr>
              <w:spacing w:line="40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K38+261.625～K90+830</w:t>
            </w:r>
          </w:p>
          <w:p>
            <w:pPr>
              <w:pStyle w:val="2"/>
              <w:jc w:val="center"/>
              <w:rPr>
                <w:rFonts w:hint="eastAsia"/>
                <w:sz w:val="21"/>
                <w:szCs w:val="21"/>
                <w:vertAlign w:val="baseline"/>
                <w:lang w:eastAsia="zh-CN"/>
              </w:rPr>
            </w:pPr>
            <w:r>
              <w:rPr>
                <w:rFonts w:hint="eastAsia" w:ascii="宋体" w:hAnsi="宋体" w:eastAsia="宋体" w:cs="宋体"/>
                <w:sz w:val="21"/>
                <w:szCs w:val="21"/>
                <w:highlight w:val="none"/>
                <w:lang w:eastAsia="zh-CN"/>
              </w:rPr>
              <w:t>（高庙互通立交除外）</w:t>
            </w:r>
          </w:p>
        </w:tc>
        <w:tc>
          <w:tcPr>
            <w:tcW w:w="4374"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lang w:eastAsia="zh-CN"/>
              </w:rPr>
              <w:t>照明工程</w:t>
            </w:r>
            <w:r>
              <w:rPr>
                <w:rFonts w:hint="eastAsia" w:ascii="宋体" w:hAnsi="宋体" w:cs="宋体"/>
                <w:sz w:val="21"/>
                <w:szCs w:val="21"/>
                <w:highlight w:val="none"/>
                <w:lang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797" w:hRule="exact"/>
          <w:jc w:val="center"/>
        </w:trPr>
        <w:tc>
          <w:tcPr>
            <w:tcW w:w="948" w:type="dxa"/>
            <w:vAlign w:val="center"/>
          </w:tcPr>
          <w:p>
            <w:pPr>
              <w:pStyle w:val="2"/>
              <w:ind w:left="0" w:leftChars="0" w:firstLine="210" w:firstLineChars="100"/>
              <w:jc w:val="center"/>
              <w:rPr>
                <w:rFonts w:hint="eastAsia"/>
                <w:sz w:val="21"/>
                <w:szCs w:val="21"/>
                <w:vertAlign w:val="baseline"/>
                <w:lang w:eastAsia="zh-CN"/>
              </w:rPr>
            </w:pPr>
            <w:r>
              <w:rPr>
                <w:rFonts w:hint="eastAsia"/>
                <w:sz w:val="21"/>
                <w:szCs w:val="21"/>
                <w:vertAlign w:val="baseline"/>
                <w:lang w:val="en-US" w:eastAsia="zh-CN"/>
              </w:rPr>
              <w:t>JD-5</w:t>
            </w:r>
          </w:p>
        </w:tc>
        <w:tc>
          <w:tcPr>
            <w:tcW w:w="3200" w:type="dxa"/>
            <w:vAlign w:val="center"/>
          </w:tcPr>
          <w:p>
            <w:pPr>
              <w:pStyle w:val="2"/>
              <w:jc w:val="center"/>
              <w:rPr>
                <w:rFonts w:hint="eastAsia"/>
                <w:sz w:val="21"/>
                <w:szCs w:val="21"/>
                <w:vertAlign w:val="baseline"/>
                <w:lang w:eastAsia="zh-CN"/>
              </w:rPr>
            </w:pPr>
            <w:r>
              <w:rPr>
                <w:rFonts w:hint="eastAsia" w:ascii="宋体" w:hAnsi="宋体" w:eastAsia="宋体" w:cs="宋体"/>
                <w:sz w:val="21"/>
                <w:szCs w:val="21"/>
                <w:highlight w:val="none"/>
              </w:rPr>
              <w:t>K38+261.625～K90+830</w:t>
            </w:r>
          </w:p>
        </w:tc>
        <w:tc>
          <w:tcPr>
            <w:tcW w:w="4374" w:type="dxa"/>
            <w:vAlign w:val="center"/>
          </w:tcPr>
          <w:p>
            <w:pPr>
              <w:pStyle w:val="2"/>
              <w:ind w:left="0" w:leftChars="0" w:firstLine="0" w:firstLineChars="0"/>
              <w:jc w:val="left"/>
              <w:rPr>
                <w:rFonts w:hint="eastAsia"/>
                <w:sz w:val="21"/>
                <w:szCs w:val="21"/>
                <w:vertAlign w:val="baseline"/>
                <w:lang w:eastAsia="zh-CN"/>
              </w:rPr>
            </w:pPr>
            <w:r>
              <w:rPr>
                <w:rFonts w:hint="eastAsia" w:ascii="宋体" w:hAnsi="宋体" w:eastAsia="宋体" w:cs="宋体"/>
                <w:sz w:val="21"/>
                <w:szCs w:val="21"/>
                <w:highlight w:val="none"/>
                <w:lang w:eastAsia="zh-CN"/>
              </w:rPr>
              <w:t>供配电工程</w:t>
            </w:r>
            <w:r>
              <w:rPr>
                <w:rFonts w:hint="eastAsia" w:ascii="宋体" w:hAnsi="宋体" w:cs="宋体"/>
                <w:sz w:val="21"/>
                <w:szCs w:val="21"/>
                <w:highlight w:val="none"/>
                <w:lang w:eastAsia="zh-CN"/>
              </w:rPr>
              <w:t>等</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养护工区、停车区、祥云路、高庙互通</w:t>
            </w:r>
            <w:r>
              <w:rPr>
                <w:rFonts w:hint="eastAsia" w:ascii="宋体" w:hAnsi="宋体" w:eastAsia="宋体" w:cs="宋体"/>
                <w:sz w:val="21"/>
                <w:szCs w:val="21"/>
                <w:highlight w:val="none"/>
                <w:lang w:eastAsia="zh-CN"/>
              </w:rPr>
              <w:t>区</w:t>
            </w:r>
            <w:r>
              <w:rPr>
                <w:rFonts w:hint="eastAsia" w:ascii="宋体" w:hAnsi="宋体" w:eastAsia="宋体" w:cs="宋体"/>
                <w:sz w:val="21"/>
                <w:szCs w:val="21"/>
                <w:highlight w:val="none"/>
              </w:rPr>
              <w:t>供</w:t>
            </w:r>
            <w:r>
              <w:rPr>
                <w:rFonts w:hint="eastAsia" w:ascii="宋体" w:hAnsi="宋体" w:eastAsia="宋体" w:cs="宋体"/>
                <w:sz w:val="21"/>
                <w:szCs w:val="21"/>
                <w:highlight w:val="none"/>
                <w:lang w:val="en-US" w:eastAsia="zh-CN"/>
              </w:rPr>
              <w:t>配</w:t>
            </w:r>
            <w:r>
              <w:rPr>
                <w:rFonts w:hint="eastAsia" w:ascii="宋体" w:hAnsi="宋体" w:eastAsia="宋体" w:cs="宋体"/>
                <w:sz w:val="21"/>
                <w:szCs w:val="21"/>
                <w:highlight w:val="none"/>
              </w:rPr>
              <w:t>电及</w:t>
            </w:r>
            <w:r>
              <w:rPr>
                <w:rFonts w:hint="eastAsia" w:ascii="宋体" w:hAnsi="宋体" w:eastAsia="宋体" w:cs="宋体"/>
                <w:sz w:val="21"/>
                <w:szCs w:val="21"/>
                <w:highlight w:val="none"/>
                <w:lang w:eastAsia="zh-CN"/>
              </w:rPr>
              <w:t>10kV</w:t>
            </w:r>
            <w:r>
              <w:rPr>
                <w:rFonts w:hint="eastAsia" w:ascii="宋体" w:hAnsi="宋体" w:eastAsia="宋体" w:cs="宋体"/>
                <w:sz w:val="21"/>
                <w:szCs w:val="21"/>
                <w:highlight w:val="none"/>
              </w:rPr>
              <w:t>线路工程</w:t>
            </w:r>
            <w:r>
              <w:rPr>
                <w:rFonts w:hint="eastAsia" w:ascii="宋体" w:hAnsi="宋体" w:eastAsia="宋体" w:cs="宋体"/>
                <w:sz w:val="21"/>
                <w:szCs w:val="21"/>
                <w:highlight w:val="none"/>
                <w:lang w:eastAsia="zh-CN"/>
              </w:rPr>
              <w:t>）</w:t>
            </w:r>
          </w:p>
        </w:tc>
      </w:tr>
    </w:tbl>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rPr>
        <w:t>3.投标人资格要求</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3.1本次招标要求：</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JD-1</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JD-</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JD-</w:t>
      </w:r>
      <w:r>
        <w:rPr>
          <w:rFonts w:hint="eastAsia" w:ascii="宋体" w:hAnsi="宋体" w:eastAsia="宋体" w:cs="宋体"/>
          <w:color w:val="auto"/>
          <w:szCs w:val="21"/>
          <w:highlight w:val="none"/>
          <w:lang w:val="en-US" w:eastAsia="zh-CN"/>
        </w:rPr>
        <w:t>3</w:t>
      </w:r>
      <w:r>
        <w:rPr>
          <w:rFonts w:hint="eastAsia" w:ascii="宋体" w:hAnsi="宋体" w:eastAsia="宋体" w:cs="宋体"/>
          <w:b w:val="0"/>
          <w:bCs w:val="0"/>
          <w:color w:val="auto"/>
          <w:sz w:val="21"/>
          <w:szCs w:val="21"/>
          <w:highlight w:val="none"/>
          <w:lang w:val="en-US" w:eastAsia="zh-CN"/>
        </w:rPr>
        <w:t>：</w:t>
      </w:r>
      <w:r>
        <w:rPr>
          <w:rFonts w:hint="eastAsia" w:ascii="宋体" w:hAnsi="宋体" w:eastAsia="宋体" w:cs="宋体"/>
          <w:color w:val="auto"/>
          <w:szCs w:val="21"/>
          <w:highlight w:val="none"/>
        </w:rPr>
        <w:t>投标人须具备建设行政主管部门核发的公路交通工程专业承包公路机电工程分项一级资质或机电工程施工总承包二级及以上资质且具有有效的安全生产许可证，201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年1月1日以来（以交工日期为准），完成过2项合同额不少于1000万元的公路机电工程或其它机电工程施工业绩，并在人员、设备、资金等方面具有相应的施工能力。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JD-4</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投标人须具备建设行政主管部门核发的公路交通工程专业承包公路机电工程分项一级资质或城市及道路照明工程专业承包一级资质且具有有效的安全生产许可证，201</w:t>
      </w:r>
      <w:r>
        <w:rPr>
          <w:rFonts w:hint="eastAsia" w:ascii="宋体" w:hAnsi="宋体" w:eastAsia="宋体" w:cs="宋体"/>
          <w:color w:val="auto"/>
          <w:szCs w:val="21"/>
          <w:highlight w:val="none"/>
          <w:lang w:val="en-US" w:eastAsia="zh-CN"/>
        </w:rPr>
        <w:t>6</w:t>
      </w:r>
      <w:r>
        <w:rPr>
          <w:rFonts w:hint="eastAsia" w:ascii="宋体" w:hAnsi="宋体" w:eastAsia="宋体" w:cs="宋体"/>
          <w:color w:val="auto"/>
          <w:szCs w:val="21"/>
          <w:highlight w:val="none"/>
        </w:rPr>
        <w:t>年1月1日以来（以交工日期为准），完成过2项合同额不少于1000万元的公路机电工程或道路照明工程施工业绩，并在人员、设备、资金等方面具有相应的施工能力。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color w:val="auto"/>
          <w:szCs w:val="21"/>
          <w:highlight w:val="none"/>
        </w:rPr>
        <w:t>JD-5</w:t>
      </w:r>
      <w:r>
        <w:rPr>
          <w:rFonts w:hint="eastAsia" w:ascii="宋体" w:hAnsi="宋体" w:eastAsia="宋体" w:cs="宋体"/>
          <w:color w:val="auto"/>
          <w:szCs w:val="21"/>
          <w:highlight w:val="none"/>
          <w:lang w:eastAsia="zh-CN"/>
        </w:rPr>
        <w:t>：</w:t>
      </w:r>
      <w:r>
        <w:rPr>
          <w:rFonts w:hint="eastAsia" w:ascii="宋体" w:hAnsi="宋体" w:eastAsia="宋体" w:cs="宋体"/>
          <w:b w:val="0"/>
          <w:bCs w:val="0"/>
          <w:color w:val="auto"/>
          <w:sz w:val="21"/>
          <w:szCs w:val="21"/>
          <w:highlight w:val="none"/>
          <w:lang w:val="en-US" w:eastAsia="zh-CN"/>
        </w:rPr>
        <w:t>投标人须具备建设行政主管部门核发的电力工程施工总承包三级（含三级）以上资质或输变电工程专业承包三级（含三级）以上资质或国家电力监察委员会（或国家能源部门）颁发的承装（修、试）电力设施许可证承装四级（含四级）并具有有效的安全生产许可证；2016年1月1日以来（以交工时间为准），完成过2项合同额不少于500万元的供配电工程施工业绩，并在人员、设备、资金等方面具有相应的施工能力。</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投标人应进入交通运输部“全国公路建设市场信用信息管理系统（http://glxy.mot.gov.cn）”中的公路工程施工资质企业名录，且投标人名称和资质与该名录中的相应企业名称和资质完全一致。</w:t>
      </w:r>
      <w:r>
        <w:rPr>
          <w:rFonts w:hint="eastAsia" w:ascii="宋体" w:hAnsi="宋体" w:cs="仿宋"/>
          <w:b/>
          <w:bCs/>
          <w:szCs w:val="21"/>
          <w:highlight w:val="none"/>
        </w:rPr>
        <w:t>（根据《关于发布公路工程从业企业资质名录的通知》（厅公路字﹝2011﹞114号）要求，本项规定仅适用于具有公路交通工程专业承包资质的企业）。</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3.2本次招标</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bCs/>
          <w:color w:val="auto"/>
          <w:sz w:val="21"/>
          <w:szCs w:val="21"/>
          <w:highlight w:val="none"/>
          <w:u w:val="single"/>
        </w:rPr>
        <w:t>不接受</w:t>
      </w:r>
      <w:r>
        <w:rPr>
          <w:rFonts w:hint="eastAsia" w:ascii="宋体" w:hAnsi="宋体" w:eastAsia="宋体" w:cs="宋体"/>
          <w:b/>
          <w:bCs/>
          <w:color w:val="auto"/>
          <w:sz w:val="21"/>
          <w:szCs w:val="21"/>
          <w:highlight w:val="none"/>
          <w:u w:val="single"/>
          <w:lang w:val="en-US" w:eastAsia="zh-CN"/>
        </w:rPr>
        <w:t xml:space="preserve"> </w:t>
      </w:r>
      <w:r>
        <w:rPr>
          <w:rFonts w:hint="eastAsia" w:ascii="宋体" w:hAnsi="宋体" w:eastAsia="宋体" w:cs="宋体"/>
          <w:b w:val="0"/>
          <w:bCs w:val="0"/>
          <w:color w:val="auto"/>
          <w:sz w:val="21"/>
          <w:szCs w:val="21"/>
          <w:highlight w:val="none"/>
        </w:rPr>
        <w:t>联合体投标。</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3.3</w:t>
      </w:r>
      <w:r>
        <w:rPr>
          <w:rFonts w:hint="eastAsia" w:ascii="宋体" w:hAnsi="宋体" w:eastAsia="宋体" w:cs="宋体"/>
          <w:b w:val="0"/>
          <w:bCs w:val="0"/>
          <w:color w:val="auto"/>
          <w:sz w:val="21"/>
          <w:szCs w:val="21"/>
          <w:highlight w:val="none"/>
        </w:rPr>
        <w:t>每个投标人最多可对2个标段投标，每个投标人只允许中1个标。</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若同一投标人多个标段排名均为第一时，则选取招标人报价较高的标段中标。)</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在“信用中国”（</w:t>
      </w:r>
      <w:r>
        <w:rPr>
          <w:rFonts w:hint="eastAsia" w:ascii="宋体" w:hAnsi="宋体" w:eastAsia="宋体" w:cs="宋体"/>
          <w:b w:val="0"/>
          <w:bCs w:val="0"/>
          <w:color w:val="auto"/>
          <w:sz w:val="21"/>
          <w:szCs w:val="21"/>
          <w:highlight w:val="none"/>
        </w:rPr>
        <w:fldChar w:fldCharType="begin"/>
      </w:r>
      <w:r>
        <w:rPr>
          <w:rFonts w:hint="eastAsia" w:ascii="宋体" w:hAnsi="宋体" w:eastAsia="宋体" w:cs="宋体"/>
          <w:b w:val="0"/>
          <w:bCs w:val="0"/>
          <w:color w:val="auto"/>
          <w:sz w:val="21"/>
          <w:szCs w:val="21"/>
          <w:highlight w:val="none"/>
        </w:rPr>
        <w:instrText xml:space="preserve"> HYPERLINK "http://www.creditchina.gov.cn/" </w:instrText>
      </w:r>
      <w:r>
        <w:rPr>
          <w:rFonts w:hint="eastAsia" w:ascii="宋体" w:hAnsi="宋体" w:eastAsia="宋体" w:cs="宋体"/>
          <w:b w:val="0"/>
          <w:bCs w:val="0"/>
          <w:color w:val="auto"/>
          <w:sz w:val="21"/>
          <w:szCs w:val="21"/>
          <w:highlight w:val="none"/>
        </w:rPr>
        <w:fldChar w:fldCharType="separate"/>
      </w:r>
      <w:r>
        <w:rPr>
          <w:rFonts w:hint="eastAsia" w:ascii="宋体" w:hAnsi="宋体" w:eastAsia="宋体" w:cs="宋体"/>
          <w:b w:val="0"/>
          <w:bCs w:val="0"/>
          <w:color w:val="auto"/>
          <w:sz w:val="21"/>
          <w:szCs w:val="21"/>
          <w:highlight w:val="none"/>
        </w:rPr>
        <w:t>www.creditchina.gov.cn</w:t>
      </w:r>
      <w:r>
        <w:rPr>
          <w:rFonts w:hint="eastAsia" w:ascii="宋体" w:hAnsi="宋体" w:eastAsia="宋体" w:cs="宋体"/>
          <w:b w:val="0"/>
          <w:bCs w:val="0"/>
          <w:color w:val="auto"/>
          <w:sz w:val="21"/>
          <w:szCs w:val="21"/>
          <w:highlight w:val="none"/>
        </w:rPr>
        <w:fldChar w:fldCharType="end"/>
      </w:r>
      <w:r>
        <w:rPr>
          <w:rFonts w:hint="eastAsia" w:ascii="宋体" w:hAnsi="宋体" w:eastAsia="宋体" w:cs="宋体"/>
          <w:b w:val="0"/>
          <w:bCs w:val="0"/>
          <w:color w:val="auto"/>
          <w:sz w:val="21"/>
          <w:szCs w:val="21"/>
          <w:highlight w:val="none"/>
        </w:rPr>
        <w:t>）网站被列入失信被执行人名单的投标人，拒绝其参与本次投标活动。</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4.招标文件的获取</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4.1凡有意申请参加投标者，请于202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 xml:space="preserve"> 9 </w:t>
      </w:r>
      <w:r>
        <w:rPr>
          <w:rFonts w:hint="eastAsia" w:ascii="宋体" w:hAnsi="宋体" w:eastAsia="宋体" w:cs="宋体"/>
          <w:b w:val="0"/>
          <w:bCs w:val="0"/>
          <w:color w:val="auto"/>
          <w:sz w:val="21"/>
          <w:szCs w:val="21"/>
          <w:highlight w:val="none"/>
        </w:rPr>
        <w:t>月</w:t>
      </w:r>
      <w:r>
        <w:rPr>
          <w:rFonts w:hint="eastAsia" w:ascii="宋体" w:hAnsi="宋体" w:cs="宋体"/>
          <w:b w:val="0"/>
          <w:bCs w:val="0"/>
          <w:color w:val="auto"/>
          <w:sz w:val="21"/>
          <w:szCs w:val="21"/>
          <w:highlight w:val="none"/>
          <w:lang w:val="en-US" w:eastAsia="zh-CN"/>
        </w:rPr>
        <w:t>26</w:t>
      </w:r>
      <w:r>
        <w:rPr>
          <w:rFonts w:hint="eastAsia" w:ascii="宋体" w:hAnsi="宋体" w:eastAsia="宋体" w:cs="宋体"/>
          <w:b w:val="0"/>
          <w:bCs w:val="0"/>
          <w:color w:val="auto"/>
          <w:sz w:val="21"/>
          <w:szCs w:val="21"/>
          <w:highlight w:val="none"/>
        </w:rPr>
        <w:t>日至202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 xml:space="preserve"> 9 </w:t>
      </w:r>
      <w:r>
        <w:rPr>
          <w:rFonts w:hint="eastAsia" w:ascii="宋体" w:hAnsi="宋体" w:eastAsia="宋体" w:cs="宋体"/>
          <w:b w:val="0"/>
          <w:bCs w:val="0"/>
          <w:color w:val="auto"/>
          <w:sz w:val="21"/>
          <w:szCs w:val="21"/>
          <w:highlight w:val="none"/>
        </w:rPr>
        <w:t>月</w:t>
      </w:r>
      <w:r>
        <w:rPr>
          <w:rFonts w:hint="eastAsia" w:ascii="宋体" w:hAnsi="宋体" w:cs="宋体"/>
          <w:b w:val="0"/>
          <w:bCs w:val="0"/>
          <w:color w:val="auto"/>
          <w:sz w:val="21"/>
          <w:szCs w:val="21"/>
          <w:highlight w:val="none"/>
          <w:lang w:val="en-US" w:eastAsia="zh-CN"/>
        </w:rPr>
        <w:t xml:space="preserve">30 </w:t>
      </w:r>
      <w:r>
        <w:rPr>
          <w:rFonts w:hint="eastAsia" w:ascii="宋体" w:hAnsi="宋体" w:eastAsia="宋体" w:cs="宋体"/>
          <w:b w:val="0"/>
          <w:bCs w:val="0"/>
          <w:color w:val="auto"/>
          <w:sz w:val="21"/>
          <w:szCs w:val="21"/>
          <w:highlight w:val="none"/>
        </w:rPr>
        <w:t>日前，</w:t>
      </w:r>
      <w:r>
        <w:rPr>
          <w:rFonts w:hint="eastAsia" w:ascii="宋体" w:hAnsi="宋体" w:eastAsia="宋体" w:cs="宋体"/>
          <w:b w:val="0"/>
          <w:bCs w:val="0"/>
          <w:color w:val="auto"/>
          <w:sz w:val="21"/>
          <w:szCs w:val="21"/>
          <w:highlight w:val="none"/>
          <w:lang w:val="en-US" w:eastAsia="zh-CN"/>
        </w:rPr>
        <w:t>登录“郑州市公共资源交易中心网站（http://zzggzy.zhengzhou.gov.cn/）”，进入“交易主体登录-工程建设”系统下载招标文件。尚未办理企业CA数字证书的，郑州市公共资源交易中心各交易主体如需办理CA数字证书业务的，可通过以下链接在线办理：北京CA：http://help. bjca. cn/service. Html；新安CA：http://xaca. hnxaca. com:8081/onl ine/88zyApply/ index. Shtml；华测CA：http: //map. hnca. com. cn/ onl ine/ appl yCommon/ snggzy40. shtml；深圳CA：www.szca.com。企业CA数字证书办理咨询电话：0371-96596，技术支持咨询电话：交易平台技术服务电话：0371-67188807，4009980000；信安CA电话：037196596，18637195406；华测CA电话：400-620-2211，13673963959；深圳CA电话：15538830100；北京CA电话：13598803773。（详见http://zzggzy.zhengzhou.gov.cn//通知公告//关于数字证书(CA)互认功能上线试运行的通知）。</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4.2投标人须注册成为郑州市公共资源交易中心网站会员并取得CA密钥，凭CA密钥登录郑州市公共资源交易中心网站（http://www.zzsggzy.com/），点击“交易主体登陆”进入电子招投标交易平台进行文件下载，并按系统提示自行下载所含格式（*.ZZZF）的招标文件及资料。</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4.3招标文件售价</w:t>
      </w:r>
      <w:r>
        <w:rPr>
          <w:rFonts w:hint="eastAsia" w:ascii="宋体" w:hAnsi="宋体" w:eastAsia="宋体" w:cs="宋体"/>
          <w:b w:val="0"/>
          <w:bCs w:val="0"/>
          <w:color w:val="auto"/>
          <w:sz w:val="21"/>
          <w:szCs w:val="21"/>
          <w:highlight w:val="none"/>
          <w:lang w:val="en-US" w:eastAsia="zh-CN"/>
        </w:rPr>
        <w:t>:0</w:t>
      </w:r>
      <w:r>
        <w:rPr>
          <w:rFonts w:hint="eastAsia" w:ascii="宋体" w:hAnsi="宋体" w:eastAsia="宋体" w:cs="宋体"/>
          <w:b w:val="0"/>
          <w:bCs w:val="0"/>
          <w:color w:val="auto"/>
          <w:sz w:val="21"/>
          <w:szCs w:val="21"/>
          <w:highlight w:val="none"/>
        </w:rPr>
        <w:t>元。</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5.投标文件的递交及相关事宜</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5.1招标人不组织工程现场踏勘，不召开投标预备会。</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5.2电子投标文件递交的截止时间（投标截止时间）为202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月</w:t>
      </w:r>
      <w:r>
        <w:rPr>
          <w:rFonts w:hint="eastAsia" w:ascii="宋体" w:hAnsi="宋体" w:cs="宋体"/>
          <w:b w:val="0"/>
          <w:bCs w:val="0"/>
          <w:color w:val="auto"/>
          <w:sz w:val="21"/>
          <w:szCs w:val="21"/>
          <w:highlight w:val="none"/>
          <w:lang w:val="en-US" w:eastAsia="zh-CN"/>
        </w:rPr>
        <w:t>19</w:t>
      </w:r>
      <w:r>
        <w:rPr>
          <w:rFonts w:hint="eastAsia" w:ascii="宋体" w:hAnsi="宋体" w:eastAsia="宋体" w:cs="宋体"/>
          <w:b w:val="0"/>
          <w:bCs w:val="0"/>
          <w:color w:val="auto"/>
          <w:sz w:val="21"/>
          <w:szCs w:val="21"/>
          <w:highlight w:val="none"/>
        </w:rPr>
        <w:t>日</w:t>
      </w:r>
      <w:r>
        <w:rPr>
          <w:rFonts w:hint="eastAsia" w:ascii="宋体" w:hAnsi="宋体" w:eastAsia="宋体" w:cs="宋体"/>
          <w:b w:val="0"/>
          <w:bCs w:val="0"/>
          <w:color w:val="auto"/>
          <w:sz w:val="21"/>
          <w:szCs w:val="21"/>
          <w:highlight w:val="none"/>
          <w:lang w:val="en-US" w:eastAsia="zh-CN"/>
        </w:rPr>
        <w:t>10</w:t>
      </w:r>
      <w:r>
        <w:rPr>
          <w:rFonts w:hint="eastAsia" w:ascii="宋体" w:hAnsi="宋体" w:eastAsia="宋体" w:cs="宋体"/>
          <w:b w:val="0"/>
          <w:bCs w:val="0"/>
          <w:color w:val="auto"/>
          <w:sz w:val="21"/>
          <w:szCs w:val="21"/>
          <w:highlight w:val="none"/>
        </w:rPr>
        <w:t xml:space="preserve">时 </w:t>
      </w:r>
      <w:r>
        <w:rPr>
          <w:rFonts w:hint="eastAsia" w:ascii="宋体" w:hAnsi="宋体" w:eastAsia="宋体" w:cs="宋体"/>
          <w:b w:val="0"/>
          <w:bCs w:val="0"/>
          <w:color w:val="auto"/>
          <w:sz w:val="21"/>
          <w:szCs w:val="21"/>
          <w:highlight w:val="none"/>
          <w:lang w:val="en-US" w:eastAsia="zh-CN"/>
        </w:rPr>
        <w:t>00</w:t>
      </w:r>
      <w:r>
        <w:rPr>
          <w:rFonts w:hint="eastAsia" w:ascii="宋体" w:hAnsi="宋体" w:eastAsia="宋体" w:cs="宋体"/>
          <w:b w:val="0"/>
          <w:bCs w:val="0"/>
          <w:color w:val="auto"/>
          <w:sz w:val="21"/>
          <w:szCs w:val="21"/>
          <w:highlight w:val="none"/>
        </w:rPr>
        <w:t>分（北京时间）。电子投标文件(*.ZZTF格式)须在投标截止时间前加密上传。</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5.3加密电子投标文件递交地点：郑州市公共资源交易中心（http://www.zzsggzy.com/）电子交易平台。开标地点：郑州市公共资源交易中心六楼</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lang w:val="en-US" w:eastAsia="zh-CN"/>
        </w:rPr>
        <w:t>A</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区第</w:t>
      </w:r>
      <w:r>
        <w:rPr>
          <w:rFonts w:hint="eastAsia" w:ascii="宋体" w:hAnsi="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lang w:eastAsia="zh-CN"/>
        </w:rPr>
        <w:t>六</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开标室（中原西路与图强路交叉口郑发大厦六楼）。</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5.4投标人须使用电子交易系统提供的投标文件制作工具进行电子投标文件的制作，并按要求上传经CA数字证书签章和加密的电子投标文件（.ZZTF格式）。加密电子投标文件逾期上传的，招标人不予受理。</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5.5开标时，各投标人需携带本单位CA数字证书（制作投标文件时所使用的CA数字证书）在开标现场进行文件解密工作。</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5.6 本项目不接受纸质版投标文件。</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6.发布公告的媒介</w:t>
      </w:r>
    </w:p>
    <w:p>
      <w:pPr>
        <w:keepNext w:val="0"/>
        <w:keepLines w:val="0"/>
        <w:pageBreakBefore w:val="0"/>
        <w:widowControl w:val="0"/>
        <w:kinsoku/>
        <w:wordWrap w:val="0"/>
        <w:overflowPunct/>
        <w:topLinePunct w:val="0"/>
        <w:autoSpaceDE/>
        <w:autoSpaceDN/>
        <w:bidi w:val="0"/>
        <w:adjustRightInd/>
        <w:snapToGrid/>
        <w:spacing w:line="440" w:lineRule="exact"/>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本次招标公告同时在《郑州市公共资源交易中心》、《河南省电子招标投标公共服务平台》</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szCs w:val="21"/>
          <w:highlight w:val="none"/>
        </w:rPr>
        <w:t>《郑州市交通运输局网站》</w:t>
      </w:r>
      <w:r>
        <w:rPr>
          <w:rFonts w:hint="eastAsia" w:ascii="宋体" w:hAnsi="宋体" w:eastAsia="宋体" w:cs="宋体"/>
          <w:b w:val="0"/>
          <w:bCs w:val="0"/>
          <w:color w:val="auto"/>
          <w:sz w:val="21"/>
          <w:szCs w:val="21"/>
          <w:highlight w:val="none"/>
        </w:rPr>
        <w:t>上发布。招标人及招标代理机构对任何转载信息及由此产生的后果均不承担任何责任</w:t>
      </w:r>
      <w:r>
        <w:rPr>
          <w:rFonts w:hint="eastAsia" w:ascii="宋体" w:hAnsi="宋体" w:eastAsia="宋体" w:cs="宋体"/>
          <w:b w:val="0"/>
          <w:bCs w:val="0"/>
          <w:color w:val="auto"/>
          <w:sz w:val="21"/>
          <w:szCs w:val="21"/>
          <w:highlight w:val="none"/>
          <w:lang w:val="en-US" w:eastAsia="zh-CN"/>
        </w:rPr>
        <w:t>。</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7.联系方式</w:t>
      </w:r>
    </w:p>
    <w:p>
      <w:pPr>
        <w:keepNext w:val="0"/>
        <w:keepLines w:val="0"/>
        <w:pageBreakBefore w:val="0"/>
        <w:widowControl w:val="0"/>
        <w:kinsoku/>
        <w:wordWrap w:val="0"/>
        <w:overflowPunct/>
        <w:topLinePunct w:val="0"/>
        <w:autoSpaceDE/>
        <w:autoSpaceDN/>
        <w:bidi w:val="0"/>
        <w:adjustRightInd/>
        <w:snapToGrid/>
        <w:spacing w:line="44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招 标 人：郑州市公路建设重点工程管理处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　　址：郑州市伊河路16号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 人：付先生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电　　话：0371-68539670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传　　真：0371-67177930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电子邮箱：zzszdc@163.com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代理机构：</w:t>
      </w:r>
      <w:r>
        <w:rPr>
          <w:rFonts w:hint="eastAsia" w:ascii="宋体" w:hAnsi="宋体" w:eastAsia="宋体" w:cs="宋体"/>
          <w:b w:val="0"/>
          <w:bCs w:val="0"/>
          <w:color w:val="auto"/>
          <w:sz w:val="21"/>
          <w:szCs w:val="21"/>
          <w:highlight w:val="none"/>
          <w:lang w:eastAsia="zh-CN"/>
        </w:rPr>
        <w:t>汇龙工程咨询有限公司</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地    址：郑州市航海路与第六大街商鼎创业大厦</w:t>
      </w:r>
      <w:r>
        <w:rPr>
          <w:rFonts w:hint="eastAsia" w:ascii="宋体" w:hAnsi="宋体" w:eastAsia="宋体" w:cs="宋体"/>
          <w:b w:val="0"/>
          <w:bCs w:val="0"/>
          <w:color w:val="auto"/>
          <w:sz w:val="21"/>
          <w:szCs w:val="21"/>
          <w:highlight w:val="none"/>
          <w:lang w:val="en-US" w:eastAsia="zh-CN"/>
        </w:rPr>
        <w:t>5</w:t>
      </w:r>
      <w:r>
        <w:rPr>
          <w:rFonts w:hint="eastAsia" w:ascii="宋体" w:hAnsi="宋体" w:eastAsia="宋体" w:cs="宋体"/>
          <w:b w:val="0"/>
          <w:bCs w:val="0"/>
          <w:color w:val="auto"/>
          <w:sz w:val="21"/>
          <w:szCs w:val="21"/>
          <w:highlight w:val="none"/>
        </w:rPr>
        <w:t>楼</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 系 人：张女士</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电    话：</w:t>
      </w:r>
      <w:r>
        <w:rPr>
          <w:rFonts w:hint="eastAsia" w:ascii="宋体" w:hAnsi="宋体" w:cs="宋体"/>
          <w:b w:val="0"/>
          <w:bCs w:val="0"/>
          <w:color w:val="auto"/>
          <w:sz w:val="21"/>
          <w:szCs w:val="21"/>
          <w:highlight w:val="none"/>
          <w:lang w:val="en-US" w:eastAsia="zh-CN"/>
        </w:rPr>
        <w:t>18703639123</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传</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真：</w:t>
      </w:r>
      <w:r>
        <w:rPr>
          <w:rFonts w:hint="eastAsia" w:ascii="宋体" w:hAnsi="宋体" w:eastAsia="宋体" w:cs="宋体"/>
          <w:b w:val="0"/>
          <w:bCs w:val="0"/>
          <w:color w:val="auto"/>
          <w:sz w:val="21"/>
          <w:szCs w:val="21"/>
          <w:highlight w:val="none"/>
        </w:rPr>
        <w:t>/</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邮</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lang w:eastAsia="zh-CN"/>
        </w:rPr>
        <w:t>箱：</w:t>
      </w:r>
      <w:r>
        <w:rPr>
          <w:rFonts w:hint="eastAsia" w:ascii="宋体" w:hAnsi="宋体" w:eastAsia="宋体" w:cs="宋体"/>
          <w:b w:val="0"/>
          <w:bCs w:val="0"/>
          <w:color w:val="auto"/>
          <w:sz w:val="21"/>
          <w:szCs w:val="21"/>
          <w:highlight w:val="none"/>
          <w:lang w:val="en-US" w:eastAsia="zh-CN"/>
        </w:rPr>
        <w:t>350813654@qq.com</w:t>
      </w:r>
    </w:p>
    <w:p>
      <w:pPr>
        <w:spacing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 xml:space="preserve">监督部门：郑州市交通运输局          </w:t>
      </w:r>
    </w:p>
    <w:p>
      <w:pPr>
        <w:spacing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地　　址：郑州市工人南路165号</w:t>
      </w:r>
    </w:p>
    <w:p>
      <w:pPr>
        <w:spacing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 xml:space="preserve">电　　话：（0371）6717 8870          </w:t>
      </w:r>
    </w:p>
    <w:p>
      <w:pPr>
        <w:spacing w:line="400" w:lineRule="exact"/>
        <w:ind w:firstLine="210" w:firstLineChars="100"/>
        <w:rPr>
          <w:rFonts w:hint="eastAsia" w:ascii="宋体" w:hAnsi="宋体" w:eastAsia="宋体" w:cs="宋体"/>
          <w:szCs w:val="21"/>
          <w:highlight w:val="none"/>
        </w:rPr>
      </w:pPr>
      <w:r>
        <w:rPr>
          <w:rFonts w:hint="eastAsia" w:ascii="宋体" w:hAnsi="宋体" w:eastAsia="宋体" w:cs="宋体"/>
          <w:szCs w:val="21"/>
          <w:highlight w:val="none"/>
        </w:rPr>
        <w:t>传　　真：（0371）6717 8870　</w:t>
      </w:r>
    </w:p>
    <w:p>
      <w:pPr>
        <w:keepNext w:val="0"/>
        <w:keepLines w:val="0"/>
        <w:pageBreakBefore w:val="0"/>
        <w:widowControl w:val="0"/>
        <w:kinsoku/>
        <w:wordWrap w:val="0"/>
        <w:overflowPunct/>
        <w:topLinePunct w:val="0"/>
        <w:autoSpaceDE/>
        <w:autoSpaceDN/>
        <w:bidi w:val="0"/>
        <w:adjustRightInd/>
        <w:snapToGrid/>
        <w:spacing w:line="440" w:lineRule="exact"/>
        <w:ind w:firstLine="210" w:firstLineChars="100"/>
        <w:textAlignment w:val="auto"/>
        <w:rPr>
          <w:rFonts w:hint="eastAsia" w:ascii="宋体" w:hAnsi="宋体" w:eastAsia="宋体" w:cs="宋体"/>
          <w:b w:val="0"/>
          <w:bCs w:val="0"/>
          <w:color w:val="auto"/>
          <w:sz w:val="21"/>
          <w:szCs w:val="21"/>
          <w:highlight w:val="none"/>
        </w:rPr>
      </w:pPr>
      <w:r>
        <w:rPr>
          <w:rFonts w:hint="eastAsia" w:ascii="宋体" w:hAnsi="宋体" w:eastAsia="宋体" w:cs="宋体"/>
          <w:szCs w:val="21"/>
          <w:highlight w:val="none"/>
        </w:rPr>
        <w:t xml:space="preserve">电子邮箱：zzsjtwgcc@163.com  </w:t>
      </w:r>
    </w:p>
    <w:p>
      <w:pPr>
        <w:keepNext w:val="0"/>
        <w:keepLines w:val="0"/>
        <w:pageBreakBefore w:val="0"/>
        <w:widowControl w:val="0"/>
        <w:kinsoku/>
        <w:wordWrap w:val="0"/>
        <w:overflowPunct/>
        <w:topLinePunct w:val="0"/>
        <w:autoSpaceDE/>
        <w:autoSpaceDN/>
        <w:bidi w:val="0"/>
        <w:adjustRightInd/>
        <w:snapToGrid/>
        <w:spacing w:line="440" w:lineRule="exact"/>
        <w:jc w:val="both"/>
        <w:textAlignment w:val="auto"/>
        <w:rPr>
          <w:rFonts w:hint="eastAsia" w:ascii="宋体" w:hAnsi="宋体" w:eastAsia="宋体" w:cs="宋体"/>
          <w:b w:val="0"/>
          <w:bCs w:val="0"/>
          <w:color w:val="auto"/>
          <w:sz w:val="21"/>
          <w:szCs w:val="21"/>
          <w:highlight w:val="none"/>
        </w:rPr>
      </w:pPr>
    </w:p>
    <w:p>
      <w:pPr>
        <w:pStyle w:val="2"/>
        <w:rPr>
          <w:rFonts w:hint="eastAsia"/>
        </w:rPr>
      </w:pPr>
    </w:p>
    <w:p>
      <w:pPr>
        <w:keepNext w:val="0"/>
        <w:keepLines w:val="0"/>
        <w:pageBreakBefore w:val="0"/>
        <w:widowControl w:val="0"/>
        <w:kinsoku/>
        <w:wordWrap w:val="0"/>
        <w:overflowPunct/>
        <w:topLinePunct w:val="0"/>
        <w:autoSpaceDE/>
        <w:autoSpaceDN/>
        <w:bidi w:val="0"/>
        <w:adjustRightInd/>
        <w:snapToGrid/>
        <w:spacing w:line="440" w:lineRule="exact"/>
        <w:ind w:firstLine="5460" w:firstLineChars="2600"/>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202</w:t>
      </w:r>
      <w:r>
        <w:rPr>
          <w:rFonts w:hint="eastAsia" w:ascii="宋体" w:hAnsi="宋体" w:eastAsia="宋体" w:cs="宋体"/>
          <w:b w:val="0"/>
          <w:bCs w:val="0"/>
          <w:color w:val="auto"/>
          <w:sz w:val="21"/>
          <w:szCs w:val="21"/>
          <w:highlight w:val="none"/>
          <w:lang w:val="en-US" w:eastAsia="zh-CN"/>
        </w:rPr>
        <w:t>1</w:t>
      </w:r>
      <w:r>
        <w:rPr>
          <w:rFonts w:hint="eastAsia" w:ascii="宋体" w:hAnsi="宋体" w:eastAsia="宋体" w:cs="宋体"/>
          <w:b w:val="0"/>
          <w:bCs w:val="0"/>
          <w:color w:val="auto"/>
          <w:sz w:val="21"/>
          <w:szCs w:val="21"/>
          <w:highlight w:val="none"/>
        </w:rPr>
        <w:t>年</w:t>
      </w:r>
      <w:r>
        <w:rPr>
          <w:rFonts w:hint="eastAsia" w:ascii="宋体" w:hAnsi="宋体" w:cs="宋体"/>
          <w:b w:val="0"/>
          <w:bCs w:val="0"/>
          <w:color w:val="auto"/>
          <w:sz w:val="21"/>
          <w:szCs w:val="21"/>
          <w:highlight w:val="none"/>
          <w:lang w:val="en-US" w:eastAsia="zh-CN"/>
        </w:rPr>
        <w:t xml:space="preserve"> 9 </w:t>
      </w:r>
      <w:r>
        <w:rPr>
          <w:rFonts w:hint="eastAsia" w:ascii="宋体" w:hAnsi="宋体" w:eastAsia="宋体" w:cs="宋体"/>
          <w:b w:val="0"/>
          <w:bCs w:val="0"/>
          <w:color w:val="auto"/>
          <w:sz w:val="21"/>
          <w:szCs w:val="21"/>
          <w:highlight w:val="none"/>
        </w:rPr>
        <w:t>月</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cs="宋体"/>
          <w:b w:val="0"/>
          <w:bCs w:val="0"/>
          <w:color w:val="auto"/>
          <w:sz w:val="21"/>
          <w:szCs w:val="21"/>
          <w:highlight w:val="none"/>
          <w:lang w:val="en-US" w:eastAsia="zh-CN"/>
        </w:rPr>
        <w:t xml:space="preserve">23 </w:t>
      </w:r>
      <w:r>
        <w:rPr>
          <w:rFonts w:hint="eastAsia" w:ascii="宋体" w:hAnsi="宋体" w:eastAsia="宋体" w:cs="宋体"/>
          <w:b w:val="0"/>
          <w:bCs w:val="0"/>
          <w:color w:val="auto"/>
          <w:sz w:val="21"/>
          <w:szCs w:val="21"/>
          <w:highlight w:val="none"/>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DD7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afterLines="0"/>
    </w:pPr>
    <w:rPr>
      <w:kern w:val="2"/>
      <w:sz w:val="21"/>
      <w:szCs w:val="24"/>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2021-09-23T08:34:38Z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D454D96B978B4A0C8CB3C66AF05C22FA</vt:lpwstr>
  </property>
</Properties>
</file>