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cs="黑体"/>
          <w:b/>
          <w:color w:val="000000"/>
          <w:sz w:val="32"/>
          <w:szCs w:val="32"/>
        </w:rPr>
      </w:pPr>
      <w:r>
        <w:rPr>
          <w:rFonts w:hint="eastAsia" w:ascii="宋体" w:hAnsi="宋体" w:cs="黑体"/>
          <w:b/>
          <w:color w:val="000000"/>
          <w:sz w:val="32"/>
          <w:szCs w:val="32"/>
        </w:rPr>
        <w:t>京港澳高速、省道102与四港联动大道组合式互通立交工程</w:t>
      </w:r>
    </w:p>
    <w:p>
      <w:pPr>
        <w:jc w:val="center"/>
        <w:rPr>
          <w:rFonts w:ascii="宋体" w:hAnsi="宋体" w:cs="黑体"/>
          <w:b/>
          <w:color w:val="000000"/>
          <w:sz w:val="32"/>
          <w:szCs w:val="32"/>
        </w:rPr>
      </w:pPr>
      <w:r>
        <w:rPr>
          <w:rFonts w:hint="eastAsia" w:ascii="宋体" w:hAnsi="宋体" w:cs="黑体"/>
          <w:b/>
          <w:color w:val="000000"/>
          <w:sz w:val="32"/>
          <w:szCs w:val="32"/>
        </w:rPr>
        <w:t>施工及施工监理招标资格预审公告</w:t>
      </w:r>
      <w:bookmarkStart w:id="0" w:name="_Toc498602549"/>
    </w:p>
    <w:p>
      <w:pPr>
        <w:pStyle w:val="2"/>
        <w:spacing w:line="240" w:lineRule="auto"/>
        <w:rPr>
          <w:rFonts w:ascii="宋体" w:hAnsi="宋体" w:cs="仿宋"/>
          <w:sz w:val="28"/>
          <w:szCs w:val="28"/>
        </w:rPr>
      </w:pPr>
      <w:r>
        <w:rPr>
          <w:rFonts w:hint="eastAsia" w:ascii="宋体" w:hAnsi="宋体" w:cs="仿宋"/>
          <w:sz w:val="28"/>
          <w:szCs w:val="28"/>
        </w:rPr>
        <w:t>1．招标条件</w:t>
      </w:r>
      <w:bookmarkEnd w:id="0"/>
    </w:p>
    <w:p>
      <w:pPr>
        <w:spacing w:line="400" w:lineRule="exact"/>
        <w:ind w:firstLine="560" w:firstLineChars="200"/>
        <w:jc w:val="both"/>
        <w:rPr>
          <w:rFonts w:ascii="宋体" w:hAnsi="宋体" w:cs="仿宋"/>
          <w:sz w:val="28"/>
          <w:szCs w:val="28"/>
        </w:rPr>
      </w:pPr>
      <w:r>
        <w:rPr>
          <w:rFonts w:hint="eastAsia" w:ascii="宋体" w:hAnsi="宋体" w:cs="仿宋"/>
          <w:sz w:val="28"/>
          <w:szCs w:val="28"/>
        </w:rPr>
        <w:t>本招标项目</w:t>
      </w:r>
      <w:r>
        <w:rPr>
          <w:rFonts w:hint="eastAsia" w:ascii="宋体" w:hAnsi="宋体" w:cs="仿宋"/>
          <w:bCs/>
          <w:sz w:val="28"/>
          <w:szCs w:val="28"/>
          <w:u w:val="single"/>
        </w:rPr>
        <w:t>京港澳高速、省道102与四港联动大道组合</w:t>
      </w:r>
      <w:bookmarkStart w:id="9" w:name="_GoBack"/>
      <w:bookmarkEnd w:id="9"/>
      <w:r>
        <w:rPr>
          <w:rFonts w:hint="eastAsia" w:ascii="宋体" w:hAnsi="宋体" w:cs="仿宋"/>
          <w:bCs/>
          <w:sz w:val="28"/>
          <w:szCs w:val="28"/>
          <w:u w:val="single"/>
        </w:rPr>
        <w:t>式互通立交工程</w:t>
      </w:r>
      <w:r>
        <w:rPr>
          <w:rFonts w:hint="eastAsia" w:ascii="宋体" w:hAnsi="宋体" w:cs="仿宋"/>
          <w:sz w:val="28"/>
          <w:szCs w:val="28"/>
        </w:rPr>
        <w:t>已由</w:t>
      </w:r>
      <w:r>
        <w:rPr>
          <w:rFonts w:hint="eastAsia" w:ascii="宋体" w:hAnsi="宋体" w:cs="仿宋"/>
          <w:sz w:val="28"/>
          <w:szCs w:val="28"/>
          <w:u w:val="single"/>
        </w:rPr>
        <w:t>河南省发展和改革委员会</w:t>
      </w:r>
      <w:r>
        <w:rPr>
          <w:rFonts w:hint="eastAsia" w:ascii="宋体" w:hAnsi="宋体" w:cs="仿宋"/>
          <w:sz w:val="28"/>
          <w:szCs w:val="28"/>
        </w:rPr>
        <w:t>以</w:t>
      </w:r>
      <w:r>
        <w:rPr>
          <w:rFonts w:hint="eastAsia" w:ascii="宋体" w:hAnsi="宋体" w:cs="仿宋"/>
          <w:sz w:val="28"/>
          <w:szCs w:val="28"/>
          <w:u w:val="single"/>
        </w:rPr>
        <w:t>豫发改设计[2017]1086号</w:t>
      </w:r>
      <w:r>
        <w:rPr>
          <w:rFonts w:hint="eastAsia" w:ascii="宋体" w:hAnsi="宋体" w:cs="仿宋"/>
          <w:sz w:val="28"/>
          <w:szCs w:val="28"/>
        </w:rPr>
        <w:t>批准建设，项目业主为</w:t>
      </w:r>
      <w:r>
        <w:rPr>
          <w:rFonts w:hint="eastAsia" w:ascii="宋体" w:hAnsi="宋体" w:cs="仿宋"/>
          <w:sz w:val="28"/>
          <w:szCs w:val="28"/>
          <w:u w:val="single"/>
        </w:rPr>
        <w:t>郑州交通建设投资有限公司</w:t>
      </w:r>
      <w:r>
        <w:rPr>
          <w:rFonts w:hint="eastAsia" w:ascii="宋体" w:hAnsi="宋体" w:cs="仿宋"/>
          <w:sz w:val="28"/>
          <w:szCs w:val="28"/>
        </w:rPr>
        <w:t>，建设资金由</w:t>
      </w:r>
      <w:r>
        <w:rPr>
          <w:rFonts w:hint="eastAsia" w:ascii="宋体" w:hAnsi="宋体" w:cs="仿宋"/>
          <w:color w:val="000000"/>
          <w:sz w:val="28"/>
          <w:szCs w:val="28"/>
          <w:u w:val="single"/>
        </w:rPr>
        <w:t>建设单位筹措</w:t>
      </w:r>
      <w:r>
        <w:rPr>
          <w:rFonts w:hint="eastAsia" w:ascii="宋体" w:hAnsi="宋体" w:cs="仿宋"/>
          <w:color w:val="000000"/>
          <w:sz w:val="28"/>
          <w:szCs w:val="28"/>
        </w:rPr>
        <w:t>，</w:t>
      </w:r>
      <w:r>
        <w:rPr>
          <w:rFonts w:hint="eastAsia" w:ascii="宋体" w:hAnsi="宋体" w:cs="仿宋"/>
          <w:sz w:val="28"/>
          <w:szCs w:val="28"/>
        </w:rPr>
        <w:t>项目资金已落实。现对该项目的修建及缺陷责任期内的质量修复进行国内竞争性公开招标，现邀请有兴趣的潜在投标人（以下简称申请人）提出资格预审申请。</w:t>
      </w:r>
    </w:p>
    <w:p>
      <w:pPr>
        <w:pStyle w:val="2"/>
        <w:spacing w:line="240" w:lineRule="auto"/>
        <w:rPr>
          <w:rFonts w:ascii="宋体" w:hAnsi="宋体" w:cs="仿宋"/>
          <w:sz w:val="28"/>
          <w:szCs w:val="28"/>
        </w:rPr>
      </w:pPr>
      <w:bookmarkStart w:id="1" w:name="_Toc498602550"/>
      <w:r>
        <w:rPr>
          <w:rFonts w:hint="eastAsia" w:ascii="宋体" w:hAnsi="宋体" w:cs="仿宋"/>
          <w:sz w:val="28"/>
          <w:szCs w:val="28"/>
        </w:rPr>
        <w:t>2．项目概况与招标范围</w:t>
      </w:r>
      <w:bookmarkEnd w:id="1"/>
    </w:p>
    <w:p>
      <w:pPr>
        <w:spacing w:line="400" w:lineRule="exact"/>
        <w:ind w:firstLine="560" w:firstLineChars="200"/>
        <w:rPr>
          <w:rFonts w:ascii="宋体" w:hAnsi="宋体" w:cs="仿宋"/>
          <w:sz w:val="28"/>
          <w:szCs w:val="28"/>
        </w:rPr>
      </w:pPr>
      <w:r>
        <w:rPr>
          <w:rFonts w:hint="eastAsia" w:ascii="宋体" w:hAnsi="宋体" w:cs="仿宋"/>
          <w:sz w:val="28"/>
          <w:szCs w:val="28"/>
        </w:rPr>
        <w:t>2.1建设地点：该项目位于河南省郑州市航空港经济综合实验区（郑州新郑综合保税区)西南部,京港澳高速公路东侧,四港联动大道与省道102交叉处。</w:t>
      </w:r>
    </w:p>
    <w:p>
      <w:pPr>
        <w:spacing w:line="400" w:lineRule="exact"/>
        <w:ind w:firstLine="560" w:firstLineChars="200"/>
        <w:rPr>
          <w:rFonts w:ascii="宋体" w:hAnsi="宋体" w:cs="仿宋"/>
          <w:sz w:val="28"/>
          <w:szCs w:val="28"/>
        </w:rPr>
      </w:pPr>
      <w:r>
        <w:rPr>
          <w:rFonts w:hint="eastAsia" w:ascii="宋体" w:hAnsi="宋体" w:cs="仿宋"/>
          <w:sz w:val="28"/>
          <w:szCs w:val="28"/>
        </w:rPr>
        <w:t>2.2项目规模：项目采用四港联动大道与省道S102交叉的涡轮型+京港澳高速侧A型喇叭+四港联动大道侧T型互通方案,收费站位于京港澳高速东侧。主要建设内容包括:新建涡轮型+A型喇叭+T型组合式互通立交1座,互通立交范围改建京港澳高速长1.686公里,改建省道102主线长1.84公里,新建四港联动大道主线长3.53公里；匝道长11.98公里,辅道长8.03公里,6进10出收费站1处。</w:t>
      </w:r>
    </w:p>
    <w:p>
      <w:pPr>
        <w:spacing w:line="400" w:lineRule="exact"/>
        <w:ind w:firstLine="560" w:firstLineChars="200"/>
        <w:rPr>
          <w:rFonts w:ascii="宋体" w:hAnsi="宋体" w:cs="仿宋"/>
          <w:sz w:val="28"/>
          <w:szCs w:val="28"/>
        </w:rPr>
      </w:pPr>
      <w:r>
        <w:rPr>
          <w:rFonts w:hint="eastAsia" w:ascii="宋体" w:hAnsi="宋体" w:cs="仿宋"/>
          <w:sz w:val="28"/>
          <w:szCs w:val="28"/>
        </w:rPr>
        <w:t>2.3项目工期</w:t>
      </w:r>
    </w:p>
    <w:p>
      <w:pPr>
        <w:spacing w:line="400" w:lineRule="exact"/>
        <w:ind w:firstLine="560" w:firstLineChars="200"/>
        <w:rPr>
          <w:rFonts w:ascii="宋体" w:hAnsi="宋体" w:cs="仿宋"/>
          <w:sz w:val="28"/>
          <w:szCs w:val="28"/>
        </w:rPr>
      </w:pPr>
      <w:r>
        <w:rPr>
          <w:rFonts w:hint="eastAsia" w:ascii="宋体" w:hAnsi="宋体" w:cs="仿宋"/>
          <w:sz w:val="28"/>
          <w:szCs w:val="28"/>
        </w:rPr>
        <w:t>计划工期24个月；缺陷责任期24个月。</w:t>
      </w:r>
    </w:p>
    <w:p>
      <w:pPr>
        <w:spacing w:line="400" w:lineRule="exact"/>
        <w:ind w:firstLine="560" w:firstLineChars="200"/>
        <w:rPr>
          <w:rFonts w:ascii="宋体" w:hAnsi="宋体" w:cs="仿宋"/>
          <w:sz w:val="28"/>
          <w:szCs w:val="28"/>
        </w:rPr>
      </w:pPr>
      <w:r>
        <w:rPr>
          <w:rFonts w:hint="eastAsia" w:ascii="宋体" w:hAnsi="宋体" w:cs="仿宋"/>
          <w:sz w:val="28"/>
          <w:szCs w:val="28"/>
        </w:rPr>
        <w:t>2.4招标编号、招标内容、资质要求、业绩要求及标段划分；</w:t>
      </w:r>
      <w:r>
        <w:rPr>
          <w:rFonts w:hint="eastAsia" w:ascii="宋体" w:hAnsi="宋体" w:cs="仿宋"/>
          <w:kern w:val="11"/>
          <w:sz w:val="28"/>
          <w:szCs w:val="28"/>
        </w:rPr>
        <w:t>施工划分2个标段、施工监理划分1个标段</w:t>
      </w:r>
      <w:r>
        <w:rPr>
          <w:rFonts w:hint="eastAsia" w:ascii="宋体" w:hAnsi="宋体" w:cs="仿宋"/>
          <w:sz w:val="28"/>
          <w:szCs w:val="28"/>
        </w:rPr>
        <w:t>。</w:t>
      </w:r>
    </w:p>
    <w:p>
      <w:pPr>
        <w:spacing w:line="400" w:lineRule="exact"/>
        <w:rPr>
          <w:rFonts w:ascii="宋体" w:hAnsi="宋体" w:cs="仿宋"/>
          <w:sz w:val="28"/>
          <w:szCs w:val="28"/>
        </w:rPr>
      </w:pPr>
      <w:r>
        <w:rPr>
          <w:rFonts w:hint="eastAsia" w:ascii="宋体" w:hAnsi="宋体" w:cs="仿宋"/>
          <w:sz w:val="28"/>
          <w:szCs w:val="28"/>
        </w:rPr>
        <w:br w:type="page"/>
      </w:r>
    </w:p>
    <w:tbl>
      <w:tblPr>
        <w:tblStyle w:val="6"/>
        <w:tblW w:w="897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74"/>
        <w:gridCol w:w="1411"/>
        <w:gridCol w:w="3144"/>
        <w:gridCol w:w="1970"/>
        <w:gridCol w:w="18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20" w:hRule="atLeast"/>
          <w:tblHeader/>
          <w:jc w:val="center"/>
        </w:trPr>
        <w:tc>
          <w:tcPr>
            <w:tcW w:w="574" w:type="dxa"/>
            <w:vAlign w:val="center"/>
          </w:tcPr>
          <w:p>
            <w:pPr>
              <w:jc w:val="center"/>
              <w:rPr>
                <w:rFonts w:ascii="宋体" w:hAnsi="宋体" w:cs="仿宋"/>
                <w:b/>
                <w:color w:val="000000"/>
                <w:sz w:val="24"/>
                <w:szCs w:val="24"/>
              </w:rPr>
            </w:pPr>
            <w:r>
              <w:rPr>
                <w:rFonts w:hint="eastAsia" w:ascii="宋体" w:hAnsi="宋体" w:cs="仿宋"/>
                <w:b/>
                <w:kern w:val="11"/>
                <w:sz w:val="24"/>
                <w:szCs w:val="24"/>
              </w:rPr>
              <w:t>招标类别</w:t>
            </w:r>
          </w:p>
        </w:tc>
        <w:tc>
          <w:tcPr>
            <w:tcW w:w="1411" w:type="dxa"/>
            <w:vAlign w:val="center"/>
          </w:tcPr>
          <w:p>
            <w:pPr>
              <w:jc w:val="center"/>
              <w:rPr>
                <w:rFonts w:ascii="宋体" w:hAnsi="宋体" w:cs="仿宋"/>
                <w:b/>
                <w:color w:val="000000"/>
                <w:sz w:val="24"/>
                <w:szCs w:val="24"/>
              </w:rPr>
            </w:pPr>
            <w:r>
              <w:rPr>
                <w:rFonts w:hint="eastAsia" w:ascii="宋体" w:hAnsi="宋体" w:cs="仿宋"/>
                <w:b/>
                <w:color w:val="000000"/>
                <w:sz w:val="24"/>
                <w:szCs w:val="24"/>
              </w:rPr>
              <w:t>招标编号</w:t>
            </w:r>
          </w:p>
        </w:tc>
        <w:tc>
          <w:tcPr>
            <w:tcW w:w="3144" w:type="dxa"/>
            <w:tcMar>
              <w:top w:w="15" w:type="dxa"/>
              <w:left w:w="15" w:type="dxa"/>
              <w:bottom w:w="0" w:type="dxa"/>
              <w:right w:w="15" w:type="dxa"/>
            </w:tcMar>
            <w:vAlign w:val="center"/>
          </w:tcPr>
          <w:p>
            <w:pPr>
              <w:jc w:val="center"/>
              <w:rPr>
                <w:rFonts w:ascii="宋体" w:hAnsi="宋体" w:cs="仿宋"/>
                <w:b/>
                <w:color w:val="000000"/>
                <w:sz w:val="24"/>
                <w:szCs w:val="24"/>
              </w:rPr>
            </w:pPr>
            <w:r>
              <w:rPr>
                <w:rFonts w:hint="eastAsia" w:ascii="宋体" w:hAnsi="宋体" w:cs="仿宋"/>
                <w:b/>
                <w:color w:val="000000"/>
                <w:sz w:val="24"/>
                <w:szCs w:val="24"/>
              </w:rPr>
              <w:t>主要工作内容</w:t>
            </w:r>
          </w:p>
        </w:tc>
        <w:tc>
          <w:tcPr>
            <w:tcW w:w="1970" w:type="dxa"/>
            <w:tcMar>
              <w:top w:w="15" w:type="dxa"/>
              <w:left w:w="15" w:type="dxa"/>
              <w:bottom w:w="0" w:type="dxa"/>
              <w:right w:w="15" w:type="dxa"/>
            </w:tcMar>
            <w:vAlign w:val="center"/>
          </w:tcPr>
          <w:p>
            <w:pPr>
              <w:jc w:val="center"/>
              <w:rPr>
                <w:rFonts w:ascii="宋体" w:hAnsi="宋体" w:cs="仿宋"/>
                <w:b/>
                <w:color w:val="000000"/>
                <w:sz w:val="24"/>
                <w:szCs w:val="24"/>
              </w:rPr>
            </w:pPr>
            <w:r>
              <w:rPr>
                <w:rFonts w:hint="eastAsia" w:ascii="宋体" w:hAnsi="宋体" w:cs="仿宋"/>
                <w:b/>
                <w:color w:val="000000"/>
                <w:sz w:val="24"/>
                <w:szCs w:val="24"/>
              </w:rPr>
              <w:t>资质要求</w:t>
            </w:r>
          </w:p>
        </w:tc>
        <w:tc>
          <w:tcPr>
            <w:tcW w:w="1875" w:type="dxa"/>
            <w:tcMar>
              <w:top w:w="15" w:type="dxa"/>
              <w:left w:w="15" w:type="dxa"/>
              <w:bottom w:w="0" w:type="dxa"/>
              <w:right w:w="15" w:type="dxa"/>
            </w:tcMar>
            <w:vAlign w:val="center"/>
          </w:tcPr>
          <w:p>
            <w:pPr>
              <w:jc w:val="center"/>
              <w:rPr>
                <w:rFonts w:ascii="宋体" w:hAnsi="宋体" w:cs="仿宋"/>
                <w:b/>
                <w:color w:val="000000"/>
                <w:sz w:val="24"/>
                <w:szCs w:val="24"/>
              </w:rPr>
            </w:pPr>
            <w:r>
              <w:rPr>
                <w:rFonts w:hint="eastAsia" w:ascii="宋体" w:hAnsi="宋体" w:cs="仿宋"/>
                <w:b/>
                <w:color w:val="000000"/>
                <w:sz w:val="24"/>
                <w:szCs w:val="24"/>
              </w:rPr>
              <w:t>业绩要求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20" w:hRule="atLeast"/>
          <w:jc w:val="center"/>
        </w:trPr>
        <w:tc>
          <w:tcPr>
            <w:tcW w:w="574" w:type="dxa"/>
            <w:vMerge w:val="restart"/>
            <w:vAlign w:val="center"/>
          </w:tcPr>
          <w:p>
            <w:pPr>
              <w:jc w:val="center"/>
              <w:rPr>
                <w:rFonts w:ascii="宋体" w:hAnsi="宋体" w:cs="仿宋"/>
                <w:color w:val="000000"/>
                <w:sz w:val="24"/>
                <w:szCs w:val="24"/>
              </w:rPr>
            </w:pPr>
            <w:r>
              <w:rPr>
                <w:rFonts w:hint="eastAsia" w:ascii="宋体" w:hAnsi="宋体" w:cs="仿宋"/>
                <w:color w:val="000000"/>
                <w:sz w:val="24"/>
                <w:szCs w:val="24"/>
              </w:rPr>
              <w:t>施工招标</w:t>
            </w:r>
          </w:p>
        </w:tc>
        <w:tc>
          <w:tcPr>
            <w:tcW w:w="1411" w:type="dxa"/>
            <w:vAlign w:val="center"/>
          </w:tcPr>
          <w:p>
            <w:pPr>
              <w:jc w:val="center"/>
              <w:rPr>
                <w:rFonts w:ascii="宋体" w:hAnsi="宋体" w:cs="仿宋"/>
                <w:color w:val="000000"/>
                <w:sz w:val="24"/>
                <w:szCs w:val="24"/>
              </w:rPr>
            </w:pPr>
            <w:r>
              <w:rPr>
                <w:rFonts w:hint="eastAsia" w:ascii="宋体" w:hAnsi="宋体" w:cs="仿宋"/>
                <w:color w:val="000000"/>
                <w:sz w:val="24"/>
                <w:szCs w:val="24"/>
              </w:rPr>
              <w:t>第一标段HTLJSG-01</w:t>
            </w:r>
          </w:p>
        </w:tc>
        <w:tc>
          <w:tcPr>
            <w:tcW w:w="3144" w:type="dxa"/>
            <w:tcMar>
              <w:top w:w="15" w:type="dxa"/>
              <w:left w:w="15" w:type="dxa"/>
              <w:bottom w:w="0" w:type="dxa"/>
              <w:right w:w="15" w:type="dxa"/>
            </w:tcMar>
            <w:vAlign w:val="center"/>
          </w:tcPr>
          <w:p>
            <w:pPr>
              <w:jc w:val="center"/>
              <w:rPr>
                <w:rFonts w:ascii="宋体" w:hAnsi="宋体" w:cs="仿宋"/>
                <w:sz w:val="24"/>
                <w:szCs w:val="24"/>
              </w:rPr>
            </w:pPr>
            <w:r>
              <w:rPr>
                <w:rFonts w:hint="eastAsia" w:ascii="宋体" w:hAnsi="宋体" w:cs="仿宋"/>
                <w:sz w:val="24"/>
                <w:szCs w:val="24"/>
              </w:rPr>
              <w:t>省道102主线，涡轮互通立交八条匝道（不含与主线紧邻部分），102两侧地面辅道及对应的雨污水管道，西气东输管道保护涵。与高速公路相关的工程，具体为单喇叭互通立交（含排水），收费广场，劝返车道（W匝道）省道102下穿处既有高速桥梁改造，以及现状收费立交改移需要的临时保通辅道工程。</w:t>
            </w:r>
          </w:p>
        </w:tc>
        <w:tc>
          <w:tcPr>
            <w:tcW w:w="1970" w:type="dxa"/>
            <w:vMerge w:val="restart"/>
            <w:tcMar>
              <w:top w:w="15" w:type="dxa"/>
              <w:left w:w="15" w:type="dxa"/>
              <w:bottom w:w="0" w:type="dxa"/>
              <w:right w:w="15" w:type="dxa"/>
            </w:tcMar>
            <w:vAlign w:val="center"/>
          </w:tcPr>
          <w:p>
            <w:pPr>
              <w:rPr>
                <w:rFonts w:ascii="宋体" w:hAnsi="宋体" w:cs="仿宋"/>
                <w:sz w:val="24"/>
                <w:szCs w:val="24"/>
              </w:rPr>
            </w:pPr>
            <w:r>
              <w:rPr>
                <w:rFonts w:hint="eastAsia" w:ascii="宋体" w:hAnsi="宋体" w:cs="仿宋"/>
                <w:sz w:val="24"/>
                <w:szCs w:val="24"/>
              </w:rPr>
              <w:t>申请人具备建设行政主管部门核发的公路工程施工总承包一级或以上资质，并同时具备桥梁工程专业承包一级资质；且具有有效的建筑安全生产许可证；</w:t>
            </w:r>
          </w:p>
          <w:p>
            <w:pPr>
              <w:rPr>
                <w:rFonts w:ascii="宋体" w:hAnsi="宋体" w:cs="仿宋"/>
                <w:sz w:val="24"/>
                <w:szCs w:val="24"/>
              </w:rPr>
            </w:pPr>
            <w:r>
              <w:rPr>
                <w:rFonts w:hint="eastAsia" w:ascii="宋体" w:hAnsi="宋体" w:cs="仿宋"/>
                <w:sz w:val="24"/>
                <w:szCs w:val="24"/>
              </w:rPr>
              <w:t>申请人拟派项目经理须具备公路工程专业专业国家注册一级建造师和具有B类安全生产考核合格证，且未担任其他在建建设工程项目的项目经理。</w:t>
            </w:r>
          </w:p>
        </w:tc>
        <w:tc>
          <w:tcPr>
            <w:tcW w:w="1875" w:type="dxa"/>
            <w:vMerge w:val="restart"/>
            <w:tcMar>
              <w:top w:w="15" w:type="dxa"/>
              <w:left w:w="15" w:type="dxa"/>
              <w:bottom w:w="0" w:type="dxa"/>
              <w:right w:w="15" w:type="dxa"/>
            </w:tcMar>
            <w:vAlign w:val="center"/>
          </w:tcPr>
          <w:p>
            <w:pPr>
              <w:rPr>
                <w:rFonts w:ascii="宋体" w:hAnsi="宋体" w:cs="仿宋"/>
                <w:sz w:val="24"/>
                <w:szCs w:val="24"/>
              </w:rPr>
            </w:pPr>
            <w:r>
              <w:rPr>
                <w:rFonts w:hint="eastAsia" w:ascii="宋体" w:hAnsi="宋体" w:cs="仿宋"/>
                <w:sz w:val="24"/>
                <w:szCs w:val="24"/>
              </w:rPr>
              <w:t>申请人近五年至少独立完成2个单体在3亿元以上公路或市政类似项目。</w:t>
            </w:r>
          </w:p>
          <w:p>
            <w:pPr>
              <w:rPr>
                <w:rFonts w:ascii="宋体" w:hAnsi="宋体" w:cs="仿宋"/>
                <w:sz w:val="24"/>
                <w:szCs w:val="24"/>
              </w:rPr>
            </w:pPr>
            <w:r>
              <w:rPr>
                <w:rFonts w:hint="eastAsia" w:ascii="宋体" w:hAnsi="宋体" w:cs="仿宋"/>
                <w:sz w:val="24"/>
                <w:szCs w:val="24"/>
              </w:rPr>
              <w:t>拟派项目经理近五年至少担任过1个单体在3亿元以上公路或市政类似项目的项目经理。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20" w:hRule="atLeast"/>
          <w:jc w:val="center"/>
        </w:trPr>
        <w:tc>
          <w:tcPr>
            <w:tcW w:w="574" w:type="dxa"/>
            <w:vMerge w:val="continue"/>
            <w:vAlign w:val="center"/>
          </w:tcPr>
          <w:p>
            <w:pPr>
              <w:jc w:val="center"/>
              <w:rPr>
                <w:rFonts w:ascii="宋体" w:hAnsi="宋体" w:cs="仿宋"/>
                <w:color w:val="000000"/>
                <w:sz w:val="24"/>
                <w:szCs w:val="24"/>
              </w:rPr>
            </w:pPr>
          </w:p>
        </w:tc>
        <w:tc>
          <w:tcPr>
            <w:tcW w:w="1411" w:type="dxa"/>
            <w:vAlign w:val="center"/>
          </w:tcPr>
          <w:p>
            <w:pPr>
              <w:jc w:val="center"/>
              <w:rPr>
                <w:rFonts w:ascii="宋体" w:hAnsi="宋体" w:cs="仿宋"/>
                <w:color w:val="000000"/>
                <w:sz w:val="24"/>
                <w:szCs w:val="24"/>
              </w:rPr>
            </w:pPr>
            <w:r>
              <w:rPr>
                <w:rFonts w:hint="eastAsia" w:ascii="宋体" w:hAnsi="宋体" w:cs="仿宋"/>
                <w:color w:val="000000"/>
                <w:sz w:val="24"/>
                <w:szCs w:val="24"/>
              </w:rPr>
              <w:t>第二标段HTLJSG-02</w:t>
            </w:r>
          </w:p>
        </w:tc>
        <w:tc>
          <w:tcPr>
            <w:tcW w:w="3144" w:type="dxa"/>
            <w:tcMar>
              <w:top w:w="15" w:type="dxa"/>
              <w:left w:w="15" w:type="dxa"/>
              <w:bottom w:w="0" w:type="dxa"/>
              <w:right w:w="15" w:type="dxa"/>
            </w:tcMar>
            <w:vAlign w:val="center"/>
          </w:tcPr>
          <w:p>
            <w:pPr>
              <w:rPr>
                <w:rFonts w:ascii="宋体" w:hAnsi="宋体" w:cs="仿宋"/>
                <w:sz w:val="24"/>
                <w:szCs w:val="24"/>
              </w:rPr>
            </w:pPr>
            <w:r>
              <w:rPr>
                <w:rFonts w:hint="eastAsia" w:ascii="宋体" w:hAnsi="宋体" w:cs="仿宋"/>
                <w:sz w:val="24"/>
                <w:szCs w:val="24"/>
              </w:rPr>
              <w:t>四港联动大道主线及涡轮立交匝道与主线紧邻部分，T型互通立交六条匝道，四港联动大道辅道及对应雨污水管道。</w:t>
            </w:r>
          </w:p>
        </w:tc>
        <w:tc>
          <w:tcPr>
            <w:tcW w:w="1970" w:type="dxa"/>
            <w:vMerge w:val="continue"/>
            <w:tcMar>
              <w:top w:w="15" w:type="dxa"/>
              <w:left w:w="15" w:type="dxa"/>
              <w:bottom w:w="0" w:type="dxa"/>
              <w:right w:w="15" w:type="dxa"/>
            </w:tcMar>
            <w:vAlign w:val="center"/>
          </w:tcPr>
          <w:p>
            <w:pPr>
              <w:jc w:val="center"/>
              <w:rPr>
                <w:rFonts w:ascii="宋体" w:hAnsi="宋体" w:cs="仿宋"/>
                <w:sz w:val="24"/>
                <w:szCs w:val="24"/>
              </w:rPr>
            </w:pPr>
          </w:p>
        </w:tc>
        <w:tc>
          <w:tcPr>
            <w:tcW w:w="1875" w:type="dxa"/>
            <w:vMerge w:val="continue"/>
            <w:tcMar>
              <w:top w:w="15" w:type="dxa"/>
              <w:left w:w="15" w:type="dxa"/>
              <w:bottom w:w="0" w:type="dxa"/>
              <w:right w:w="15" w:type="dxa"/>
            </w:tcMar>
            <w:vAlign w:val="center"/>
          </w:tcPr>
          <w:p>
            <w:pPr>
              <w:jc w:val="center"/>
              <w:rPr>
                <w:rFonts w:ascii="宋体" w:hAnsi="宋体"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218" w:hRule="atLeast"/>
          <w:jc w:val="center"/>
        </w:trPr>
        <w:tc>
          <w:tcPr>
            <w:tcW w:w="574" w:type="dxa"/>
            <w:vAlign w:val="center"/>
          </w:tcPr>
          <w:p>
            <w:pPr>
              <w:jc w:val="center"/>
              <w:rPr>
                <w:rFonts w:ascii="宋体" w:hAnsi="宋体" w:cs="仿宋"/>
                <w:color w:val="000000"/>
                <w:sz w:val="24"/>
                <w:szCs w:val="24"/>
              </w:rPr>
            </w:pPr>
            <w:r>
              <w:rPr>
                <w:rFonts w:hint="eastAsia" w:ascii="宋体" w:hAnsi="宋体" w:cs="仿宋"/>
                <w:color w:val="000000"/>
                <w:sz w:val="24"/>
                <w:szCs w:val="24"/>
              </w:rPr>
              <w:t>施工监理</w:t>
            </w:r>
          </w:p>
        </w:tc>
        <w:tc>
          <w:tcPr>
            <w:tcW w:w="1411" w:type="dxa"/>
            <w:vAlign w:val="center"/>
          </w:tcPr>
          <w:p>
            <w:pPr>
              <w:jc w:val="center"/>
              <w:rPr>
                <w:rFonts w:ascii="宋体" w:hAnsi="宋体" w:cs="仿宋"/>
                <w:color w:val="000000"/>
                <w:sz w:val="24"/>
                <w:szCs w:val="24"/>
              </w:rPr>
            </w:pPr>
            <w:r>
              <w:rPr>
                <w:rFonts w:hint="eastAsia" w:ascii="宋体" w:hAnsi="宋体" w:cs="仿宋"/>
                <w:color w:val="000000"/>
                <w:sz w:val="24"/>
                <w:szCs w:val="24"/>
              </w:rPr>
              <w:t>HTLJJL</w:t>
            </w:r>
          </w:p>
        </w:tc>
        <w:tc>
          <w:tcPr>
            <w:tcW w:w="3144" w:type="dxa"/>
            <w:tcMar>
              <w:top w:w="15" w:type="dxa"/>
              <w:left w:w="15" w:type="dxa"/>
              <w:bottom w:w="0" w:type="dxa"/>
              <w:right w:w="15" w:type="dxa"/>
            </w:tcMar>
            <w:vAlign w:val="center"/>
          </w:tcPr>
          <w:p>
            <w:pPr>
              <w:rPr>
                <w:rFonts w:ascii="宋体" w:hAnsi="宋体" w:cs="仿宋"/>
                <w:color w:val="000000"/>
                <w:sz w:val="24"/>
                <w:szCs w:val="24"/>
              </w:rPr>
            </w:pPr>
            <w:r>
              <w:rPr>
                <w:rFonts w:hint="eastAsia" w:ascii="宋体" w:hAnsi="宋体" w:cs="仿宋"/>
                <w:sz w:val="24"/>
                <w:szCs w:val="24"/>
              </w:rPr>
              <w:t>负责本项目批复的施工图设计范围内的路基、路面、桥涵、路线交叉、交安设施、绿化工程、沿线附属服务设施（机电工程除外）以及缺陷责任期的工程修复等监理服务工作。</w:t>
            </w:r>
          </w:p>
        </w:tc>
        <w:tc>
          <w:tcPr>
            <w:tcW w:w="1970" w:type="dxa"/>
            <w:tcMar>
              <w:top w:w="15" w:type="dxa"/>
              <w:left w:w="15" w:type="dxa"/>
              <w:bottom w:w="0" w:type="dxa"/>
              <w:right w:w="15" w:type="dxa"/>
            </w:tcMar>
            <w:vAlign w:val="center"/>
          </w:tcPr>
          <w:p>
            <w:pPr>
              <w:rPr>
                <w:rFonts w:ascii="宋体" w:hAnsi="宋体" w:cs="仿宋"/>
                <w:sz w:val="24"/>
                <w:szCs w:val="24"/>
              </w:rPr>
            </w:pPr>
            <w:r>
              <w:rPr>
                <w:rFonts w:hint="eastAsia" w:ascii="宋体" w:hAnsi="宋体" w:cs="仿宋"/>
                <w:sz w:val="24"/>
                <w:szCs w:val="24"/>
              </w:rPr>
              <w:t>申请人具备独立法人资格、持有有效企业营业执照、具备交通运输部颁发的公路工程施工监理甲级资质。</w:t>
            </w:r>
          </w:p>
        </w:tc>
        <w:tc>
          <w:tcPr>
            <w:tcW w:w="1875" w:type="dxa"/>
            <w:tcMar>
              <w:top w:w="15" w:type="dxa"/>
              <w:left w:w="15" w:type="dxa"/>
              <w:bottom w:w="0" w:type="dxa"/>
              <w:right w:w="15" w:type="dxa"/>
            </w:tcMar>
            <w:vAlign w:val="center"/>
          </w:tcPr>
          <w:p>
            <w:pPr>
              <w:rPr>
                <w:rFonts w:ascii="宋体" w:hAnsi="宋体" w:cs="仿宋"/>
                <w:sz w:val="24"/>
                <w:szCs w:val="24"/>
              </w:rPr>
            </w:pPr>
            <w:r>
              <w:rPr>
                <w:rFonts w:hint="eastAsia" w:ascii="宋体" w:hAnsi="宋体" w:cs="仿宋"/>
                <w:sz w:val="24"/>
                <w:szCs w:val="24"/>
              </w:rPr>
              <w:t>申请人近五年至少累计完成40公里以上（一级公路或以上）新建或改建公路项目监理，其中至少包括一座特大桥梁和一个枢纽立交工程业绩。</w:t>
            </w:r>
          </w:p>
        </w:tc>
      </w:tr>
    </w:tbl>
    <w:p>
      <w:pPr>
        <w:spacing w:line="160" w:lineRule="exact"/>
        <w:rPr>
          <w:rFonts w:ascii="宋体" w:hAnsi="宋体"/>
          <w:color w:val="000000"/>
          <w:sz w:val="24"/>
        </w:rPr>
      </w:pPr>
    </w:p>
    <w:p>
      <w:pPr>
        <w:pStyle w:val="2"/>
        <w:spacing w:beforeLines="50" w:afterLines="50" w:line="240" w:lineRule="auto"/>
        <w:ind w:firstLine="562" w:firstLineChars="200"/>
        <w:rPr>
          <w:rFonts w:ascii="宋体" w:hAnsi="宋体" w:cs="仿宋"/>
          <w:sz w:val="28"/>
          <w:szCs w:val="28"/>
        </w:rPr>
      </w:pPr>
      <w:bookmarkStart w:id="2" w:name="_Toc498602551"/>
      <w:r>
        <w:rPr>
          <w:rFonts w:hint="eastAsia" w:ascii="宋体" w:hAnsi="宋体" w:cs="仿宋"/>
          <w:sz w:val="28"/>
          <w:szCs w:val="28"/>
        </w:rPr>
        <w:t>3．申请人资格要求</w:t>
      </w:r>
      <w:bookmarkEnd w:id="2"/>
    </w:p>
    <w:p>
      <w:pPr>
        <w:pStyle w:val="2"/>
        <w:spacing w:line="400" w:lineRule="exact"/>
        <w:ind w:firstLine="560" w:firstLineChars="200"/>
        <w:rPr>
          <w:rFonts w:ascii="宋体" w:hAnsi="宋体" w:cs="仿宋"/>
          <w:b w:val="0"/>
          <w:bCs w:val="0"/>
          <w:sz w:val="28"/>
          <w:szCs w:val="28"/>
        </w:rPr>
      </w:pPr>
      <w:r>
        <w:rPr>
          <w:rFonts w:hint="eastAsia" w:ascii="宋体" w:hAnsi="宋体" w:cs="仿宋"/>
          <w:b w:val="0"/>
          <w:bCs w:val="0"/>
          <w:sz w:val="28"/>
          <w:szCs w:val="28"/>
        </w:rPr>
        <w:t>3.1本次资格预审要求申请人具备的资质及业绩详见2.4条表格中要求，并在人员、设备、资金等方面具备相应的施工能力。</w:t>
      </w:r>
    </w:p>
    <w:p>
      <w:pPr>
        <w:pStyle w:val="2"/>
        <w:spacing w:line="400" w:lineRule="exact"/>
        <w:ind w:firstLine="560" w:firstLineChars="200"/>
        <w:rPr>
          <w:rFonts w:ascii="宋体" w:hAnsi="宋体" w:cs="仿宋"/>
          <w:b w:val="0"/>
          <w:bCs w:val="0"/>
          <w:sz w:val="28"/>
          <w:szCs w:val="28"/>
        </w:rPr>
      </w:pPr>
      <w:r>
        <w:rPr>
          <w:rFonts w:hint="eastAsia" w:ascii="宋体" w:hAnsi="宋体" w:cs="仿宋"/>
          <w:b w:val="0"/>
          <w:bCs w:val="0"/>
          <w:sz w:val="28"/>
          <w:szCs w:val="28"/>
        </w:rPr>
        <w:t>3.2本次资格预审不接受联合体申请。</w:t>
      </w:r>
    </w:p>
    <w:p>
      <w:pPr>
        <w:pStyle w:val="2"/>
        <w:spacing w:line="400" w:lineRule="exact"/>
        <w:ind w:firstLine="560" w:firstLineChars="200"/>
        <w:rPr>
          <w:rFonts w:ascii="宋体" w:hAnsi="宋体" w:cs="仿宋"/>
          <w:b w:val="0"/>
          <w:bCs w:val="0"/>
          <w:sz w:val="28"/>
          <w:szCs w:val="28"/>
        </w:rPr>
      </w:pPr>
      <w:r>
        <w:rPr>
          <w:rFonts w:hint="eastAsia" w:ascii="宋体" w:hAnsi="宋体" w:cs="仿宋"/>
          <w:b w:val="0"/>
          <w:bCs w:val="0"/>
          <w:sz w:val="28"/>
          <w:szCs w:val="28"/>
        </w:rPr>
        <w:t>3.3每个申请人最多可对1个标段提出资格预审申请。</w:t>
      </w:r>
    </w:p>
    <w:p>
      <w:pPr>
        <w:pStyle w:val="2"/>
        <w:spacing w:line="400" w:lineRule="exact"/>
        <w:ind w:firstLine="560" w:firstLineChars="200"/>
        <w:rPr>
          <w:rFonts w:ascii="宋体" w:hAnsi="宋体" w:cs="仿宋"/>
          <w:b w:val="0"/>
          <w:bCs w:val="0"/>
          <w:sz w:val="28"/>
          <w:szCs w:val="28"/>
        </w:rPr>
      </w:pPr>
      <w:bookmarkStart w:id="3" w:name="page15"/>
      <w:bookmarkEnd w:id="3"/>
      <w:r>
        <w:rPr>
          <w:rFonts w:hint="eastAsia" w:ascii="宋体" w:hAnsi="宋体" w:cs="仿宋"/>
          <w:b w:val="0"/>
          <w:bCs w:val="0"/>
          <w:sz w:val="28"/>
          <w:szCs w:val="28"/>
        </w:rPr>
        <w:t>3.4具有投资参股关系的关联企业，或具有直接管理和被管理关系的母子公司，或同一母公司的子公司，或法定代表人为同一个人的两个及两个以上法人，不得同时对本项目提出资格预审申请。若出现上述情况，先购买资格预审文件者为有效申请人。</w:t>
      </w:r>
    </w:p>
    <w:p>
      <w:pPr>
        <w:pStyle w:val="2"/>
        <w:spacing w:line="400" w:lineRule="exact"/>
        <w:ind w:firstLine="560" w:firstLineChars="200"/>
        <w:rPr>
          <w:rFonts w:ascii="宋体" w:hAnsi="宋体" w:cs="仿宋"/>
          <w:b w:val="0"/>
          <w:bCs w:val="0"/>
          <w:sz w:val="28"/>
          <w:szCs w:val="28"/>
        </w:rPr>
      </w:pPr>
      <w:r>
        <w:rPr>
          <w:rFonts w:hint="eastAsia" w:ascii="宋体" w:hAnsi="宋体" w:cs="仿宋"/>
          <w:b w:val="0"/>
          <w:bCs w:val="0"/>
          <w:sz w:val="28"/>
          <w:szCs w:val="28"/>
        </w:rPr>
        <w:t>3.5本次资格预审不接受河南省公路建设施工企业信用等级为D级的企业。</w:t>
      </w:r>
    </w:p>
    <w:p>
      <w:pPr>
        <w:pStyle w:val="2"/>
        <w:spacing w:beforeLines="50" w:afterLines="50" w:line="240" w:lineRule="auto"/>
        <w:ind w:firstLine="562" w:firstLineChars="200"/>
        <w:rPr>
          <w:rFonts w:ascii="宋体" w:hAnsi="宋体" w:cs="仿宋"/>
          <w:sz w:val="28"/>
          <w:szCs w:val="28"/>
        </w:rPr>
      </w:pPr>
      <w:bookmarkStart w:id="4" w:name="_Toc498602552"/>
      <w:r>
        <w:rPr>
          <w:rFonts w:hint="eastAsia" w:ascii="宋体" w:hAnsi="宋体" w:cs="仿宋"/>
          <w:sz w:val="28"/>
          <w:szCs w:val="28"/>
        </w:rPr>
        <w:t>4．资格预审方法</w:t>
      </w:r>
      <w:bookmarkEnd w:id="4"/>
    </w:p>
    <w:p>
      <w:pPr>
        <w:pStyle w:val="2"/>
        <w:spacing w:line="240" w:lineRule="auto"/>
        <w:ind w:firstLine="560" w:firstLineChars="200"/>
        <w:rPr>
          <w:rFonts w:ascii="宋体" w:hAnsi="宋体" w:cs="仿宋"/>
          <w:b w:val="0"/>
          <w:bCs w:val="0"/>
          <w:sz w:val="28"/>
          <w:szCs w:val="28"/>
        </w:rPr>
      </w:pPr>
      <w:r>
        <w:rPr>
          <w:rFonts w:hint="eastAsia" w:ascii="宋体" w:hAnsi="宋体" w:cs="仿宋"/>
          <w:b w:val="0"/>
          <w:bCs w:val="0"/>
          <w:sz w:val="28"/>
          <w:szCs w:val="28"/>
        </w:rPr>
        <w:t>本次资格预审施工标采用合格制，监理标采用强制性条件审查法。</w:t>
      </w:r>
    </w:p>
    <w:p>
      <w:pPr>
        <w:pStyle w:val="2"/>
        <w:spacing w:beforeLines="50" w:afterLines="50" w:line="240" w:lineRule="auto"/>
        <w:ind w:firstLine="562" w:firstLineChars="200"/>
        <w:rPr>
          <w:rFonts w:ascii="宋体" w:hAnsi="宋体" w:cs="仿宋"/>
          <w:sz w:val="28"/>
          <w:szCs w:val="28"/>
        </w:rPr>
      </w:pPr>
      <w:bookmarkStart w:id="5" w:name="_Toc498602553"/>
      <w:r>
        <w:rPr>
          <w:rFonts w:hint="eastAsia" w:ascii="宋体" w:hAnsi="宋体" w:cs="仿宋"/>
          <w:sz w:val="28"/>
          <w:szCs w:val="28"/>
        </w:rPr>
        <w:t>5．资格预审文件的获取</w:t>
      </w:r>
      <w:bookmarkEnd w:id="5"/>
    </w:p>
    <w:p>
      <w:pPr>
        <w:pStyle w:val="2"/>
        <w:spacing w:line="400" w:lineRule="exact"/>
        <w:ind w:firstLine="560" w:firstLineChars="200"/>
        <w:rPr>
          <w:rFonts w:ascii="宋体" w:hAnsi="宋体" w:cs="仿宋"/>
          <w:b w:val="0"/>
          <w:bCs w:val="0"/>
          <w:sz w:val="28"/>
          <w:szCs w:val="28"/>
        </w:rPr>
      </w:pPr>
      <w:r>
        <w:rPr>
          <w:rFonts w:hint="eastAsia" w:ascii="宋体" w:hAnsi="宋体" w:cs="仿宋"/>
          <w:b w:val="0"/>
          <w:bCs w:val="0"/>
          <w:sz w:val="28"/>
          <w:szCs w:val="28"/>
        </w:rPr>
        <w:t>5.1请符合上述条件的申请人于2018年1月24日至2018年1月30日（法定公休日、法定节假日除外）每日上午9:00至12:00，下午14:00至17:30（北京时间，下同），由申请人持营业执照、资质证书、法人代表身份证或法人授权委托书及被授权人身份证等证件(以上均为原件和加盖公章的复印件)到北京恒乐工程管理有限公司（郑州市姚寨路红旗路金成时代广场6号楼808室）购买资格预审文件。</w:t>
      </w:r>
    </w:p>
    <w:p>
      <w:pPr>
        <w:pStyle w:val="2"/>
        <w:spacing w:line="400" w:lineRule="exact"/>
        <w:ind w:firstLine="560" w:firstLineChars="200"/>
        <w:rPr>
          <w:rFonts w:ascii="宋体" w:hAnsi="宋体" w:cs="仿宋"/>
          <w:b w:val="0"/>
          <w:bCs w:val="0"/>
          <w:sz w:val="28"/>
          <w:szCs w:val="28"/>
        </w:rPr>
      </w:pPr>
      <w:r>
        <w:rPr>
          <w:rFonts w:hint="eastAsia" w:ascii="宋体" w:hAnsi="宋体" w:cs="仿宋"/>
          <w:b w:val="0"/>
          <w:bCs w:val="0"/>
          <w:sz w:val="28"/>
          <w:szCs w:val="28"/>
        </w:rPr>
        <w:t>5.2资格预审文件每份售价为1000元，售后不退。</w:t>
      </w:r>
    </w:p>
    <w:p>
      <w:pPr>
        <w:pStyle w:val="2"/>
        <w:spacing w:beforeLines="50" w:afterLines="50" w:line="240" w:lineRule="auto"/>
        <w:ind w:firstLine="562" w:firstLineChars="200"/>
        <w:rPr>
          <w:rFonts w:ascii="宋体" w:hAnsi="宋体" w:cs="仿宋"/>
          <w:sz w:val="28"/>
          <w:szCs w:val="28"/>
        </w:rPr>
      </w:pPr>
      <w:bookmarkStart w:id="6" w:name="_Toc498602554"/>
      <w:r>
        <w:rPr>
          <w:rFonts w:hint="eastAsia" w:ascii="宋体" w:hAnsi="宋体" w:cs="仿宋"/>
          <w:sz w:val="28"/>
          <w:szCs w:val="28"/>
        </w:rPr>
        <w:t>6．资格预审申请文件的递交</w:t>
      </w:r>
      <w:bookmarkEnd w:id="6"/>
    </w:p>
    <w:p>
      <w:pPr>
        <w:pStyle w:val="2"/>
        <w:spacing w:line="400" w:lineRule="exact"/>
        <w:ind w:firstLine="560" w:firstLineChars="200"/>
        <w:rPr>
          <w:rFonts w:ascii="宋体" w:hAnsi="宋体" w:cs="仿宋"/>
          <w:b w:val="0"/>
          <w:bCs w:val="0"/>
          <w:sz w:val="28"/>
          <w:szCs w:val="28"/>
        </w:rPr>
      </w:pPr>
      <w:r>
        <w:rPr>
          <w:rFonts w:hint="eastAsia" w:ascii="宋体" w:hAnsi="宋体" w:cs="仿宋"/>
          <w:b w:val="0"/>
          <w:bCs w:val="0"/>
          <w:sz w:val="28"/>
          <w:szCs w:val="28"/>
        </w:rPr>
        <w:t>6.1递交资格预审申请文件的截止时间（申请截止时间，下同）为2018年2月6日10：00分，申请人应于2018年 2月6日8：30至10:00将资格预审申请文件递交至郑州市交通运输招标投标中心（地址：郑州市航海东路与四港联动大道交叉口南约2公里潮河桥南头路东，请注意相应指示牌“交通信息管理中心”）。</w:t>
      </w:r>
    </w:p>
    <w:p>
      <w:pPr>
        <w:pStyle w:val="2"/>
        <w:spacing w:line="400" w:lineRule="exact"/>
        <w:ind w:firstLine="560" w:firstLineChars="200"/>
        <w:rPr>
          <w:rFonts w:ascii="宋体" w:hAnsi="宋体" w:cs="仿宋"/>
          <w:b w:val="0"/>
          <w:bCs w:val="0"/>
          <w:sz w:val="28"/>
          <w:szCs w:val="28"/>
        </w:rPr>
      </w:pPr>
      <w:r>
        <w:rPr>
          <w:rFonts w:hint="eastAsia" w:ascii="宋体" w:hAnsi="宋体" w:cs="仿宋"/>
          <w:b w:val="0"/>
          <w:bCs w:val="0"/>
          <w:sz w:val="28"/>
          <w:szCs w:val="28"/>
        </w:rPr>
        <w:t>6.2逾期送达或者未送达指定地点的资格预审申请文件，招标人不予受理。</w:t>
      </w:r>
    </w:p>
    <w:p>
      <w:pPr>
        <w:pStyle w:val="2"/>
        <w:spacing w:beforeLines="50" w:afterLines="50" w:line="240" w:lineRule="auto"/>
        <w:ind w:firstLine="562" w:firstLineChars="200"/>
        <w:rPr>
          <w:rFonts w:ascii="宋体" w:hAnsi="宋体" w:cs="仿宋"/>
          <w:sz w:val="28"/>
          <w:szCs w:val="28"/>
        </w:rPr>
      </w:pPr>
      <w:bookmarkStart w:id="7" w:name="_Toc498602555"/>
      <w:r>
        <w:rPr>
          <w:rFonts w:hint="eastAsia" w:ascii="宋体" w:hAnsi="宋体" w:cs="仿宋"/>
          <w:sz w:val="28"/>
          <w:szCs w:val="28"/>
        </w:rPr>
        <w:t>7．发布公告的媒介</w:t>
      </w:r>
      <w:bookmarkEnd w:id="7"/>
    </w:p>
    <w:p>
      <w:pPr>
        <w:pStyle w:val="2"/>
        <w:spacing w:line="400" w:lineRule="exact"/>
        <w:ind w:firstLine="560" w:firstLineChars="200"/>
        <w:rPr>
          <w:rFonts w:ascii="宋体" w:hAnsi="宋体" w:cs="仿宋"/>
          <w:b w:val="0"/>
          <w:bCs w:val="0"/>
          <w:sz w:val="28"/>
          <w:szCs w:val="28"/>
        </w:rPr>
      </w:pPr>
      <w:r>
        <w:rPr>
          <w:rFonts w:hint="eastAsia" w:ascii="宋体" w:hAnsi="宋体" w:cs="仿宋"/>
          <w:b w:val="0"/>
          <w:bCs w:val="0"/>
          <w:sz w:val="28"/>
          <w:szCs w:val="28"/>
        </w:rPr>
        <w:t>本次资格预审公告同时在《中国招标投标公共服务平台》（http://www.cebpubservice.com/）、《河南招标采购综合网》</w:t>
      </w:r>
      <w:r>
        <w:rPr>
          <w:rFonts w:hint="eastAsia" w:ascii="宋体" w:hAnsi="宋体" w:cs="仿宋"/>
          <w:b w:val="0"/>
          <w:bCs w:val="0"/>
          <w:sz w:val="24"/>
          <w:szCs w:val="24"/>
        </w:rPr>
        <w:t>（http://www.hnzbcg.org.cn/）</w:t>
      </w:r>
      <w:r>
        <w:rPr>
          <w:rFonts w:hint="eastAsia" w:ascii="宋体" w:hAnsi="宋体" w:cs="仿宋"/>
          <w:b w:val="0"/>
          <w:bCs w:val="0"/>
          <w:sz w:val="28"/>
          <w:szCs w:val="28"/>
        </w:rPr>
        <w:t>、《郑州市交通运输委员会网》</w:t>
      </w:r>
      <w:r>
        <w:rPr>
          <w:rFonts w:hint="eastAsia" w:ascii="宋体" w:hAnsi="宋体" w:cs="仿宋"/>
          <w:b w:val="0"/>
          <w:bCs w:val="0"/>
          <w:sz w:val="24"/>
          <w:szCs w:val="24"/>
        </w:rPr>
        <w:t>(http://zzjt.zhengzhou.gov.cn/)、</w:t>
      </w:r>
      <w:r>
        <w:rPr>
          <w:rFonts w:hint="eastAsia" w:ascii="宋体" w:hAnsi="宋体" w:cs="仿宋"/>
          <w:b w:val="0"/>
          <w:bCs w:val="0"/>
          <w:sz w:val="28"/>
          <w:szCs w:val="28"/>
        </w:rPr>
        <w:t>《郑州交通建设投资有限公司网》</w:t>
      </w:r>
      <w:r>
        <w:rPr>
          <w:rFonts w:hint="eastAsia" w:ascii="宋体" w:hAnsi="宋体" w:cs="仿宋"/>
          <w:b w:val="0"/>
          <w:bCs w:val="0"/>
          <w:sz w:val="24"/>
          <w:szCs w:val="24"/>
        </w:rPr>
        <w:t>（http://www.zzjjt.com/）</w:t>
      </w:r>
      <w:r>
        <w:rPr>
          <w:rFonts w:hint="eastAsia" w:ascii="宋体" w:hAnsi="宋体" w:cs="仿宋"/>
          <w:b w:val="0"/>
          <w:bCs w:val="0"/>
          <w:sz w:val="28"/>
          <w:szCs w:val="28"/>
        </w:rPr>
        <w:t>上发布。</w:t>
      </w:r>
    </w:p>
    <w:p>
      <w:pPr>
        <w:pStyle w:val="2"/>
        <w:spacing w:beforeLines="50" w:afterLines="50" w:line="240" w:lineRule="auto"/>
        <w:ind w:firstLine="562" w:firstLineChars="200"/>
        <w:rPr>
          <w:rFonts w:ascii="宋体" w:hAnsi="宋体" w:cs="仿宋"/>
          <w:sz w:val="28"/>
          <w:szCs w:val="28"/>
        </w:rPr>
      </w:pPr>
      <w:bookmarkStart w:id="8" w:name="_Toc498602556"/>
      <w:r>
        <w:rPr>
          <w:rFonts w:hint="eastAsia" w:ascii="宋体" w:hAnsi="宋体" w:cs="仿宋"/>
          <w:sz w:val="28"/>
          <w:szCs w:val="28"/>
        </w:rPr>
        <w:t>8．联系方式</w:t>
      </w:r>
      <w:bookmarkEnd w:id="8"/>
    </w:p>
    <w:p>
      <w:pPr>
        <w:pStyle w:val="2"/>
        <w:spacing w:line="400" w:lineRule="exact"/>
        <w:ind w:firstLine="560" w:firstLineChars="200"/>
        <w:rPr>
          <w:rFonts w:ascii="宋体" w:hAnsi="宋体" w:cs="仿宋"/>
          <w:b w:val="0"/>
          <w:bCs w:val="0"/>
          <w:sz w:val="28"/>
          <w:szCs w:val="28"/>
        </w:rPr>
      </w:pPr>
      <w:r>
        <w:rPr>
          <w:rFonts w:hint="eastAsia" w:ascii="宋体" w:hAnsi="宋体" w:cs="仿宋"/>
          <w:b w:val="0"/>
          <w:bCs w:val="0"/>
          <w:sz w:val="28"/>
          <w:szCs w:val="28"/>
        </w:rPr>
        <w:t>招 标 人：郑州交通建设投资有限公司</w:t>
      </w:r>
    </w:p>
    <w:p>
      <w:pPr>
        <w:pStyle w:val="2"/>
        <w:spacing w:line="400" w:lineRule="exact"/>
        <w:ind w:firstLine="560" w:firstLineChars="200"/>
        <w:rPr>
          <w:rFonts w:ascii="宋体" w:hAnsi="宋体" w:cs="仿宋"/>
          <w:b w:val="0"/>
          <w:bCs w:val="0"/>
          <w:sz w:val="28"/>
          <w:szCs w:val="28"/>
        </w:rPr>
      </w:pPr>
      <w:r>
        <w:rPr>
          <w:rFonts w:hint="eastAsia" w:ascii="宋体" w:hAnsi="宋体" w:cs="仿宋"/>
          <w:b w:val="0"/>
          <w:bCs w:val="0"/>
          <w:sz w:val="28"/>
          <w:szCs w:val="28"/>
        </w:rPr>
        <w:t>地    址：河南省郑州市郑东新区金水路与圃田西路交叉口向南1000米路西</w:t>
      </w:r>
    </w:p>
    <w:p>
      <w:pPr>
        <w:pStyle w:val="2"/>
        <w:spacing w:line="400" w:lineRule="exact"/>
        <w:ind w:firstLine="560" w:firstLineChars="200"/>
        <w:rPr>
          <w:rFonts w:ascii="宋体" w:hAnsi="宋体" w:cs="仿宋"/>
          <w:b w:val="0"/>
          <w:bCs w:val="0"/>
          <w:sz w:val="28"/>
          <w:szCs w:val="28"/>
        </w:rPr>
      </w:pPr>
      <w:r>
        <w:rPr>
          <w:rFonts w:hint="eastAsia" w:ascii="宋体" w:hAnsi="宋体" w:cs="仿宋"/>
          <w:b w:val="0"/>
          <w:bCs w:val="0"/>
          <w:sz w:val="28"/>
          <w:szCs w:val="28"/>
        </w:rPr>
        <w:t>联 系 人：张女士</w:t>
      </w:r>
    </w:p>
    <w:p>
      <w:pPr>
        <w:pStyle w:val="2"/>
        <w:spacing w:line="400" w:lineRule="exact"/>
        <w:ind w:firstLine="560" w:firstLineChars="200"/>
        <w:rPr>
          <w:rFonts w:ascii="宋体" w:hAnsi="宋体" w:cs="仿宋"/>
          <w:b w:val="0"/>
          <w:bCs w:val="0"/>
          <w:sz w:val="28"/>
          <w:szCs w:val="28"/>
        </w:rPr>
      </w:pPr>
      <w:r>
        <w:rPr>
          <w:rFonts w:hint="eastAsia" w:ascii="宋体" w:hAnsi="宋体" w:cs="仿宋"/>
          <w:b w:val="0"/>
          <w:bCs w:val="0"/>
          <w:sz w:val="28"/>
          <w:szCs w:val="28"/>
        </w:rPr>
        <w:t>电    话：0371-86558105</w:t>
      </w:r>
    </w:p>
    <w:p>
      <w:pPr>
        <w:pStyle w:val="2"/>
        <w:spacing w:line="400" w:lineRule="exact"/>
        <w:ind w:firstLine="560" w:firstLineChars="200"/>
        <w:rPr>
          <w:rFonts w:ascii="宋体" w:hAnsi="宋体" w:cs="仿宋"/>
          <w:b w:val="0"/>
          <w:bCs w:val="0"/>
          <w:sz w:val="28"/>
          <w:szCs w:val="28"/>
        </w:rPr>
      </w:pPr>
      <w:r>
        <w:rPr>
          <w:rFonts w:hint="eastAsia" w:ascii="宋体" w:hAnsi="宋体" w:cs="仿宋"/>
          <w:b w:val="0"/>
          <w:bCs w:val="0"/>
          <w:sz w:val="28"/>
          <w:szCs w:val="28"/>
        </w:rPr>
        <w:t>招标代理机构：北京恒乐工程管理有限公司</w:t>
      </w:r>
    </w:p>
    <w:p>
      <w:pPr>
        <w:pStyle w:val="2"/>
        <w:spacing w:line="400" w:lineRule="exact"/>
        <w:ind w:firstLine="560" w:firstLineChars="200"/>
        <w:rPr>
          <w:rFonts w:ascii="宋体" w:hAnsi="宋体" w:cs="仿宋"/>
          <w:b w:val="0"/>
          <w:bCs w:val="0"/>
          <w:sz w:val="28"/>
          <w:szCs w:val="28"/>
        </w:rPr>
      </w:pPr>
      <w:r>
        <w:rPr>
          <w:rFonts w:hint="eastAsia" w:ascii="宋体" w:hAnsi="宋体" w:cs="仿宋"/>
          <w:b w:val="0"/>
          <w:bCs w:val="0"/>
          <w:sz w:val="28"/>
          <w:szCs w:val="28"/>
        </w:rPr>
        <w:t>地    址：郑州市姚寨路红旗路金成时代广场6号楼808室</w:t>
      </w:r>
    </w:p>
    <w:p>
      <w:pPr>
        <w:pStyle w:val="2"/>
        <w:spacing w:line="400" w:lineRule="exact"/>
        <w:ind w:firstLine="560" w:firstLineChars="200"/>
        <w:rPr>
          <w:rFonts w:ascii="宋体" w:hAnsi="宋体" w:cs="仿宋"/>
          <w:b w:val="0"/>
          <w:bCs w:val="0"/>
          <w:sz w:val="28"/>
          <w:szCs w:val="28"/>
        </w:rPr>
      </w:pPr>
      <w:r>
        <w:rPr>
          <w:rFonts w:hint="eastAsia" w:ascii="宋体" w:hAnsi="宋体" w:cs="仿宋"/>
          <w:b w:val="0"/>
          <w:bCs w:val="0"/>
          <w:sz w:val="28"/>
          <w:szCs w:val="28"/>
        </w:rPr>
        <w:t>联 系 人：叶先生</w:t>
      </w:r>
    </w:p>
    <w:p>
      <w:pPr>
        <w:pStyle w:val="2"/>
        <w:spacing w:line="400" w:lineRule="exact"/>
        <w:ind w:firstLine="560" w:firstLineChars="200"/>
        <w:rPr>
          <w:rFonts w:ascii="宋体" w:hAnsi="宋体" w:cs="仿宋"/>
          <w:b w:val="0"/>
          <w:bCs w:val="0"/>
          <w:sz w:val="28"/>
          <w:szCs w:val="28"/>
        </w:rPr>
      </w:pPr>
      <w:r>
        <w:rPr>
          <w:rFonts w:hint="eastAsia" w:ascii="宋体" w:hAnsi="宋体" w:cs="仿宋"/>
          <w:b w:val="0"/>
          <w:bCs w:val="0"/>
          <w:sz w:val="28"/>
          <w:szCs w:val="28"/>
        </w:rPr>
        <w:t>电    话：0371-55153019</w:t>
      </w:r>
    </w:p>
    <w:p>
      <w:pPr>
        <w:pStyle w:val="2"/>
        <w:spacing w:line="400" w:lineRule="exact"/>
        <w:ind w:firstLine="560" w:firstLineChars="200"/>
        <w:rPr>
          <w:rFonts w:ascii="宋体" w:hAnsi="宋体" w:cs="仿宋"/>
          <w:b w:val="0"/>
          <w:bCs w:val="0"/>
          <w:sz w:val="28"/>
          <w:szCs w:val="28"/>
        </w:rPr>
      </w:pPr>
      <w:r>
        <w:rPr>
          <w:rFonts w:hint="eastAsia" w:ascii="宋体" w:hAnsi="宋体" w:cs="仿宋"/>
          <w:b w:val="0"/>
          <w:bCs w:val="0"/>
          <w:sz w:val="28"/>
          <w:szCs w:val="28"/>
        </w:rPr>
        <w:t>传    真：0371-55153019</w:t>
      </w:r>
    </w:p>
    <w:p>
      <w:pPr>
        <w:spacing w:line="0" w:lineRule="atLeast"/>
        <w:jc w:val="right"/>
        <w:rPr>
          <w:rFonts w:ascii="宋体" w:hAnsi="宋体"/>
          <w:sz w:val="21"/>
        </w:rPr>
      </w:pPr>
      <w:r>
        <w:rPr>
          <w:rFonts w:hint="eastAsia" w:ascii="宋体" w:hAnsi="宋体" w:cs="仿宋"/>
          <w:sz w:val="28"/>
          <w:szCs w:val="28"/>
        </w:rPr>
        <w:t>2018年1月24日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A12257"/>
    <w:rsid w:val="00033239"/>
    <w:rsid w:val="0005374F"/>
    <w:rsid w:val="000B77B6"/>
    <w:rsid w:val="000C0104"/>
    <w:rsid w:val="000E0C30"/>
    <w:rsid w:val="001B1A80"/>
    <w:rsid w:val="001C32C5"/>
    <w:rsid w:val="00243E23"/>
    <w:rsid w:val="003310C8"/>
    <w:rsid w:val="00360A66"/>
    <w:rsid w:val="003A696A"/>
    <w:rsid w:val="0042462B"/>
    <w:rsid w:val="006A2A95"/>
    <w:rsid w:val="006E1B21"/>
    <w:rsid w:val="006E3632"/>
    <w:rsid w:val="0072522D"/>
    <w:rsid w:val="00736595"/>
    <w:rsid w:val="00747373"/>
    <w:rsid w:val="007D6E1A"/>
    <w:rsid w:val="00840BAD"/>
    <w:rsid w:val="00882C54"/>
    <w:rsid w:val="00907F9C"/>
    <w:rsid w:val="009B6999"/>
    <w:rsid w:val="00A024DD"/>
    <w:rsid w:val="00A02EF9"/>
    <w:rsid w:val="00A12257"/>
    <w:rsid w:val="00A443E8"/>
    <w:rsid w:val="00A63F77"/>
    <w:rsid w:val="00AB1ECD"/>
    <w:rsid w:val="00AD0F16"/>
    <w:rsid w:val="00AE07A7"/>
    <w:rsid w:val="00BD494D"/>
    <w:rsid w:val="00C0488F"/>
    <w:rsid w:val="00C55627"/>
    <w:rsid w:val="00C57F4E"/>
    <w:rsid w:val="00C771B8"/>
    <w:rsid w:val="00C93DC4"/>
    <w:rsid w:val="00D74DA1"/>
    <w:rsid w:val="00DC293F"/>
    <w:rsid w:val="00DD194C"/>
    <w:rsid w:val="00E155E1"/>
    <w:rsid w:val="00E91B4D"/>
    <w:rsid w:val="00F81921"/>
    <w:rsid w:val="07721385"/>
    <w:rsid w:val="0CAD2564"/>
    <w:rsid w:val="348E35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imes New Roman" w:hAnsi="Times New Roman" w:eastAsia="宋体" w:cs="Times New Roman"/>
      <w:sz w:val="22"/>
      <w:szCs w:val="22"/>
      <w:lang w:val="en-US" w:eastAsia="zh-CN" w:bidi="ar-SA"/>
    </w:rPr>
  </w:style>
  <w:style w:type="paragraph" w:styleId="2">
    <w:name w:val="heading 2"/>
    <w:basedOn w:val="1"/>
    <w:next w:val="1"/>
    <w:link w:val="9"/>
    <w:qFormat/>
    <w:uiPriority w:val="9"/>
    <w:pPr>
      <w:spacing w:before="200" w:after="0"/>
      <w:outlineLvl w:val="1"/>
    </w:pPr>
    <w:rPr>
      <w:rFonts w:ascii="Cambria" w:hAnsi="Cambria"/>
      <w:b/>
      <w:bCs/>
      <w:sz w:val="26"/>
      <w:szCs w:val="26"/>
    </w:rPr>
  </w:style>
  <w:style w:type="character" w:default="1" w:styleId="5">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3">
    <w:name w:val="footer"/>
    <w:basedOn w:val="1"/>
    <w:link w:val="8"/>
    <w:unhideWhenUsed/>
    <w:qFormat/>
    <w:uiPriority w:val="99"/>
    <w:pPr>
      <w:widowControl w:val="0"/>
      <w:tabs>
        <w:tab w:val="center" w:pos="4153"/>
        <w:tab w:val="right" w:pos="8306"/>
      </w:tabs>
      <w:snapToGrid w:val="0"/>
      <w:spacing w:after="0" w:line="240" w:lineRule="auto"/>
    </w:pPr>
    <w:rPr>
      <w:rFonts w:asciiTheme="minorHAnsi" w:hAnsiTheme="minorHAnsi" w:eastAsiaTheme="minorEastAsia" w:cstheme="minorBidi"/>
      <w:kern w:val="2"/>
      <w:sz w:val="18"/>
      <w:szCs w:val="18"/>
    </w:rPr>
  </w:style>
  <w:style w:type="paragraph" w:styleId="4">
    <w:name w:val="header"/>
    <w:basedOn w:val="1"/>
    <w:link w:val="7"/>
    <w:unhideWhenUsed/>
    <w:uiPriority w:val="99"/>
    <w:pPr>
      <w:widowControl w:val="0"/>
      <w:pBdr>
        <w:bottom w:val="single" w:color="auto" w:sz="6" w:space="1"/>
      </w:pBdr>
      <w:tabs>
        <w:tab w:val="center" w:pos="4153"/>
        <w:tab w:val="right" w:pos="8306"/>
      </w:tabs>
      <w:snapToGrid w:val="0"/>
      <w:spacing w:after="0" w:line="240" w:lineRule="auto"/>
      <w:jc w:val="center"/>
    </w:pPr>
    <w:rPr>
      <w:rFonts w:asciiTheme="minorHAnsi" w:hAnsiTheme="minorHAnsi" w:eastAsiaTheme="minorEastAsia" w:cstheme="minorBidi"/>
      <w:kern w:val="2"/>
      <w:sz w:val="18"/>
      <w:szCs w:val="18"/>
    </w:rPr>
  </w:style>
  <w:style w:type="character" w:customStyle="1" w:styleId="7">
    <w:name w:val="页眉 Char"/>
    <w:basedOn w:val="5"/>
    <w:link w:val="4"/>
    <w:semiHidden/>
    <w:qFormat/>
    <w:uiPriority w:val="99"/>
    <w:rPr>
      <w:sz w:val="18"/>
      <w:szCs w:val="18"/>
    </w:rPr>
  </w:style>
  <w:style w:type="character" w:customStyle="1" w:styleId="8">
    <w:name w:val="页脚 Char"/>
    <w:basedOn w:val="5"/>
    <w:link w:val="3"/>
    <w:semiHidden/>
    <w:uiPriority w:val="99"/>
    <w:rPr>
      <w:sz w:val="18"/>
      <w:szCs w:val="18"/>
    </w:rPr>
  </w:style>
  <w:style w:type="character" w:customStyle="1" w:styleId="9">
    <w:name w:val="标题 2 Char"/>
    <w:basedOn w:val="5"/>
    <w:link w:val="2"/>
    <w:qFormat/>
    <w:uiPriority w:val="9"/>
    <w:rPr>
      <w:rFonts w:ascii="Cambria" w:hAnsi="Cambria" w:eastAsia="宋体" w:cs="Times New Roman"/>
      <w:b/>
      <w:bCs/>
      <w:kern w:val="0"/>
      <w:sz w:val="26"/>
      <w:szCs w:val="26"/>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372</Words>
  <Characters>2125</Characters>
  <Lines>17</Lines>
  <Paragraphs>4</Paragraphs>
  <TotalTime>0</TotalTime>
  <ScaleCrop>false</ScaleCrop>
  <LinksUpToDate>false</LinksUpToDate>
  <CharactersWithSpaces>2493</CharactersWithSpaces>
  <Application>WPS Office_10.1.0.7106_F1E327BC-269C-435d-A152-05C5408002CA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2017-11-24T01:43:00Z</dcterms:created>
  <dc:creator>NTKO</dc:creator>
  <cp:lastModifiedBy>Administrator</cp:lastModifiedBy>
  <cp:lastPrinted>2018-01-24T04:55:51Z</cp:lastPrinted>
  <dcterms:modified xsi:type="dcterms:W3CDTF">2018-01-24T04:56:08Z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