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cs="宋体"/>
          <w:sz w:val="36"/>
          <w:szCs w:val="36"/>
        </w:rPr>
      </w:pPr>
      <w:r>
        <w:rPr>
          <w:rFonts w:hint="eastAsia" w:ascii="宋体" w:hAnsi="宋体" w:cs="宋体"/>
          <w:sz w:val="36"/>
          <w:szCs w:val="36"/>
          <w:lang w:eastAsia="zh-CN"/>
        </w:rPr>
        <w:t>郑州市机动车</w:t>
      </w:r>
      <w:r>
        <w:rPr>
          <w:rFonts w:hint="eastAsia" w:ascii="宋体" w:hAnsi="宋体" w:cs="宋体"/>
          <w:sz w:val="36"/>
          <w:szCs w:val="36"/>
        </w:rPr>
        <w:t>维修业违法风险点</w:t>
      </w:r>
      <w:r>
        <w:rPr>
          <w:rFonts w:hint="eastAsia" w:ascii="宋体" w:hAnsi="宋体" w:cs="宋体"/>
          <w:sz w:val="36"/>
          <w:szCs w:val="36"/>
          <w:lang w:eastAsia="zh-CN"/>
        </w:rPr>
        <w:t>及防控措施（试行）</w:t>
      </w:r>
    </w:p>
    <w:p>
      <w:pPr>
        <w:spacing w:line="0" w:lineRule="atLeast"/>
        <w:jc w:val="center"/>
        <w:rPr>
          <w:rFonts w:hint="eastAsia" w:ascii="宋体" w:hAnsi="宋体" w:cs="宋体"/>
          <w:sz w:val="10"/>
          <w:szCs w:val="10"/>
        </w:rPr>
      </w:pPr>
    </w:p>
    <w:tbl>
      <w:tblPr>
        <w:tblStyle w:val="6"/>
        <w:tblW w:w="14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908"/>
        <w:gridCol w:w="2977"/>
        <w:gridCol w:w="2976"/>
        <w:gridCol w:w="4253"/>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96"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908"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违法风险点</w:t>
            </w:r>
          </w:p>
        </w:tc>
        <w:tc>
          <w:tcPr>
            <w:tcW w:w="2977"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法律依据</w:t>
            </w:r>
          </w:p>
        </w:tc>
        <w:tc>
          <w:tcPr>
            <w:tcW w:w="2976"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法律后果</w:t>
            </w:r>
          </w:p>
        </w:tc>
        <w:tc>
          <w:tcPr>
            <w:tcW w:w="4253"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防控措施</w:t>
            </w:r>
          </w:p>
        </w:tc>
        <w:tc>
          <w:tcPr>
            <w:tcW w:w="1252" w:type="dxa"/>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69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1</w:t>
            </w:r>
          </w:p>
        </w:tc>
        <w:tc>
          <w:tcPr>
            <w:tcW w:w="1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未经备案擅自开展机动车维修经营</w:t>
            </w:r>
          </w:p>
        </w:tc>
        <w:tc>
          <w:tcPr>
            <w:tcW w:w="29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《中华人民共和国道路运输条例》第39条《机动车维修管理规定》第7条、第49条</w:t>
            </w:r>
          </w:p>
        </w:tc>
        <w:tc>
          <w:tcPr>
            <w:tcW w:w="29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责令整改，拒不整改的，处5000元以上20000元以下罚款</w:t>
            </w:r>
          </w:p>
        </w:tc>
        <w:tc>
          <w:tcPr>
            <w:tcW w:w="4253" w:type="dxa"/>
            <w:vAlign w:val="center"/>
          </w:tcPr>
          <w:p>
            <w:pPr>
              <w:numPr>
                <w:ilvl w:val="0"/>
                <w:numId w:val="1"/>
              </w:numPr>
              <w:jc w:val="left"/>
              <w:rPr>
                <w:rFonts w:hint="eastAsia" w:ascii="宋体" w:hAnsi="宋体" w:eastAsia="宋体" w:cs="宋体"/>
                <w:sz w:val="24"/>
                <w:szCs w:val="24"/>
              </w:rPr>
            </w:pPr>
            <w:r>
              <w:rPr>
                <w:rFonts w:hint="eastAsia" w:ascii="宋体" w:hAnsi="宋体" w:eastAsia="宋体" w:cs="宋体"/>
                <w:sz w:val="24"/>
                <w:szCs w:val="24"/>
              </w:rPr>
              <w:t>加大《条例》和《规定》的宣传力度。2、</w:t>
            </w:r>
            <w:r>
              <w:rPr>
                <w:rFonts w:hint="eastAsia" w:ascii="宋体" w:hAnsi="宋体" w:eastAsia="宋体" w:cs="宋体"/>
                <w:sz w:val="24"/>
                <w:szCs w:val="24"/>
                <w:lang w:eastAsia="zh-CN"/>
              </w:rPr>
              <w:t>提前进行行政指导、引导、辅导</w:t>
            </w:r>
            <w:r>
              <w:rPr>
                <w:rFonts w:hint="eastAsia" w:ascii="宋体" w:hAnsi="宋体" w:eastAsia="宋体" w:cs="宋体"/>
                <w:sz w:val="24"/>
                <w:szCs w:val="24"/>
              </w:rPr>
              <w:t>。3、增加备案便民措施。</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69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2</w:t>
            </w:r>
          </w:p>
        </w:tc>
        <w:tc>
          <w:tcPr>
            <w:tcW w:w="1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提供虚假材料进行备案</w:t>
            </w:r>
          </w:p>
        </w:tc>
        <w:tc>
          <w:tcPr>
            <w:tcW w:w="2977"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交通运输部宣传贯彻指导意见</w:t>
            </w:r>
          </w:p>
        </w:tc>
        <w:tc>
          <w:tcPr>
            <w:tcW w:w="2976"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责令整改</w:t>
            </w:r>
          </w:p>
        </w:tc>
        <w:tc>
          <w:tcPr>
            <w:tcW w:w="4253" w:type="dxa"/>
            <w:vAlign w:val="center"/>
          </w:tcPr>
          <w:p>
            <w:pPr>
              <w:jc w:val="left"/>
              <w:rPr>
                <w:rFonts w:hint="eastAsia" w:ascii="宋体" w:hAnsi="宋体" w:eastAsia="宋体" w:cs="宋体"/>
                <w:sz w:val="24"/>
                <w:szCs w:val="24"/>
                <w:lang w:val="en-US" w:eastAsia="zh-CN"/>
              </w:rPr>
            </w:pPr>
            <w:r>
              <w:rPr>
                <w:rFonts w:hint="eastAsia" w:ascii="宋体" w:hAnsi="宋体" w:eastAsia="宋体" w:cs="宋体"/>
                <w:sz w:val="24"/>
                <w:szCs w:val="24"/>
              </w:rPr>
              <w:t>1、加大《条例》和《规定》的宣传力度。2、对维修企业负责人进行</w:t>
            </w:r>
            <w:r>
              <w:rPr>
                <w:rFonts w:hint="eastAsia" w:ascii="宋体" w:hAnsi="宋体" w:eastAsia="宋体" w:cs="宋体"/>
                <w:sz w:val="24"/>
                <w:szCs w:val="24"/>
                <w:lang w:eastAsia="zh-CN"/>
              </w:rPr>
              <w:t>约谈、整改</w:t>
            </w:r>
            <w:r>
              <w:rPr>
                <w:rFonts w:hint="eastAsia" w:ascii="宋体" w:hAnsi="宋体" w:eastAsia="宋体" w:cs="宋体"/>
                <w:sz w:val="24"/>
                <w:szCs w:val="24"/>
              </w:rPr>
              <w:t>。</w:t>
            </w:r>
            <w:r>
              <w:rPr>
                <w:rFonts w:hint="eastAsia" w:ascii="宋体" w:hAnsi="宋体" w:eastAsia="宋体" w:cs="宋体"/>
                <w:sz w:val="24"/>
                <w:szCs w:val="24"/>
                <w:lang w:val="en-US" w:eastAsia="zh-CN"/>
              </w:rPr>
              <w:t>3、情节严重的列入不诚信名单。</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69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3</w:t>
            </w:r>
          </w:p>
        </w:tc>
        <w:tc>
          <w:tcPr>
            <w:tcW w:w="1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超出备案范围开展机动车维修经营</w:t>
            </w:r>
          </w:p>
        </w:tc>
        <w:tc>
          <w:tcPr>
            <w:tcW w:w="29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《机动车维修管理规定》第20条</w:t>
            </w:r>
          </w:p>
        </w:tc>
        <w:tc>
          <w:tcPr>
            <w:tcW w:w="29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责令改正；情节严重的，停业整顿。</w:t>
            </w:r>
          </w:p>
        </w:tc>
        <w:tc>
          <w:tcPr>
            <w:tcW w:w="4253"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1、加大《条例》和《规定》的宣传力度。2、对维修企业负责人进行</w:t>
            </w:r>
            <w:r>
              <w:rPr>
                <w:rFonts w:hint="eastAsia" w:ascii="宋体" w:hAnsi="宋体" w:eastAsia="宋体" w:cs="宋体"/>
                <w:sz w:val="24"/>
                <w:szCs w:val="24"/>
                <w:lang w:eastAsia="zh-CN"/>
              </w:rPr>
              <w:t>批评、教育、劝诫、约谈</w:t>
            </w:r>
            <w:r>
              <w:rPr>
                <w:rFonts w:hint="eastAsia" w:ascii="宋体" w:hAnsi="宋体" w:eastAsia="宋体" w:cs="宋体"/>
                <w:sz w:val="24"/>
                <w:szCs w:val="24"/>
              </w:rPr>
              <w:t>。</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机动车维修经营者未在经营场所醒目位置悬挂机动车维修标志牌的；</w:t>
            </w: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《机动车维修管理规定》第21条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由县级以上道路运输管理机构责令其限期整改；限期整改不合格的，予以通报：</w:t>
            </w:r>
          </w:p>
          <w:p>
            <w:pPr>
              <w:spacing w:line="560" w:lineRule="exact"/>
              <w:jc w:val="center"/>
              <w:rPr>
                <w:rFonts w:hint="eastAsia" w:ascii="宋体" w:hAnsi="宋体" w:eastAsia="宋体" w:cs="宋体"/>
                <w:sz w:val="24"/>
                <w:szCs w:val="24"/>
              </w:rPr>
            </w:pPr>
          </w:p>
        </w:tc>
        <w:tc>
          <w:tcPr>
            <w:tcW w:w="4253" w:type="dxa"/>
            <w:vAlign w:val="center"/>
          </w:tcPr>
          <w:p>
            <w:pPr>
              <w:numPr>
                <w:ilvl w:val="0"/>
                <w:numId w:val="2"/>
              </w:numPr>
              <w:spacing w:line="560" w:lineRule="exact"/>
              <w:jc w:val="left"/>
              <w:rPr>
                <w:rFonts w:hint="eastAsia" w:ascii="宋体" w:hAnsi="宋体" w:eastAsia="宋体" w:cs="宋体"/>
                <w:sz w:val="24"/>
                <w:szCs w:val="24"/>
              </w:rPr>
            </w:pP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numPr>
                <w:ilvl w:val="0"/>
                <w:numId w:val="2"/>
              </w:numPr>
              <w:spacing w:line="560" w:lineRule="exact"/>
              <w:jc w:val="left"/>
              <w:rPr>
                <w:rFonts w:hint="eastAsia" w:ascii="宋体" w:hAnsi="宋体" w:eastAsia="宋体" w:cs="宋体"/>
                <w:sz w:val="24"/>
                <w:szCs w:val="24"/>
              </w:rPr>
            </w:pPr>
            <w:r>
              <w:rPr>
                <w:rFonts w:hint="eastAsia" w:ascii="宋体" w:hAnsi="宋体" w:eastAsia="宋体" w:cs="宋体"/>
                <w:sz w:val="24"/>
                <w:szCs w:val="24"/>
              </w:rPr>
              <w:t>适时开展行政指导。</w:t>
            </w:r>
          </w:p>
        </w:tc>
        <w:tc>
          <w:tcPr>
            <w:tcW w:w="1252"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机动车维修经营者超出公布的结算工时定额、结算工时单价向托修方收费的；</w:t>
            </w: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《中华人民共和国道路运输条例》第43条</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《机动车维修管理规定》第25条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由县级以上道路运输管理机构责令其限期整改；限期整改不合格的，予以通报：</w:t>
            </w:r>
          </w:p>
          <w:p>
            <w:pPr>
              <w:spacing w:line="560" w:lineRule="exact"/>
              <w:jc w:val="center"/>
              <w:rPr>
                <w:rFonts w:hint="eastAsia" w:ascii="宋体" w:hAnsi="宋体" w:eastAsia="宋体" w:cs="宋体"/>
                <w:sz w:val="24"/>
                <w:szCs w:val="24"/>
              </w:rPr>
            </w:pPr>
          </w:p>
        </w:tc>
        <w:tc>
          <w:tcPr>
            <w:tcW w:w="4253" w:type="dxa"/>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未公布机动车维修工时费定额和收费标准</w:t>
            </w:r>
          </w:p>
        </w:tc>
        <w:tc>
          <w:tcPr>
            <w:tcW w:w="29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《中华人民共和国道路运输条例》第43条《机动车维修管理规定》第25条、第53条</w:t>
            </w:r>
          </w:p>
        </w:tc>
        <w:tc>
          <w:tcPr>
            <w:tcW w:w="29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限期整改，限期整改不合格的，予以通报。</w:t>
            </w:r>
          </w:p>
        </w:tc>
        <w:tc>
          <w:tcPr>
            <w:tcW w:w="4253" w:type="dxa"/>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r>
              <w:rPr>
                <w:rFonts w:hint="eastAsia" w:ascii="宋体" w:hAnsi="宋体" w:cs="宋体"/>
                <w:sz w:val="24"/>
                <w:szCs w:val="24"/>
                <w:lang w:eastAsia="zh-CN"/>
              </w:rPr>
              <w:t>。</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未按规定使用结算票据和清单</w:t>
            </w:r>
          </w:p>
        </w:tc>
        <w:tc>
          <w:tcPr>
            <w:tcW w:w="29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《中华人民共和国道路运输条例》第43条《机动车维修管理规定》第26条、第53条</w:t>
            </w:r>
          </w:p>
        </w:tc>
        <w:tc>
          <w:tcPr>
            <w:tcW w:w="29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限期整改，限期整改不合格的，予以通报。</w:t>
            </w:r>
          </w:p>
        </w:tc>
        <w:tc>
          <w:tcPr>
            <w:tcW w:w="4253" w:type="dxa"/>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jc w:val="left"/>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r>
              <w:rPr>
                <w:rFonts w:hint="eastAsia" w:ascii="宋体" w:hAnsi="宋体" w:cs="宋体"/>
                <w:sz w:val="24"/>
                <w:szCs w:val="24"/>
                <w:lang w:eastAsia="zh-CN"/>
              </w:rPr>
              <w:t>。</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96"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8</w:t>
            </w:r>
          </w:p>
        </w:tc>
        <w:tc>
          <w:tcPr>
            <w:tcW w:w="1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只收费不维修或者虚列维修项目</w:t>
            </w:r>
          </w:p>
        </w:tc>
        <w:tc>
          <w:tcPr>
            <w:tcW w:w="29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《机动车维修管理规定》第26条、第53条</w:t>
            </w:r>
          </w:p>
        </w:tc>
        <w:tc>
          <w:tcPr>
            <w:tcW w:w="29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限期整改，限期整改不合格的，予以通报。</w:t>
            </w:r>
          </w:p>
        </w:tc>
        <w:tc>
          <w:tcPr>
            <w:tcW w:w="4253"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1、加大政策宣传。</w:t>
            </w:r>
          </w:p>
          <w:p>
            <w:pPr>
              <w:jc w:val="left"/>
              <w:rPr>
                <w:rFonts w:hint="eastAsia" w:ascii="宋体" w:hAnsi="宋体" w:eastAsia="宋体" w:cs="宋体"/>
                <w:sz w:val="24"/>
                <w:szCs w:val="24"/>
              </w:rPr>
            </w:pPr>
            <w:r>
              <w:rPr>
                <w:rFonts w:hint="eastAsia" w:ascii="宋体" w:hAnsi="宋体" w:eastAsia="宋体" w:cs="宋体"/>
                <w:sz w:val="24"/>
                <w:szCs w:val="24"/>
              </w:rPr>
              <w:t>2、备案时发放提示宣传资料，对企业负责人开展法规培训。</w:t>
            </w:r>
          </w:p>
          <w:p>
            <w:pPr>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进行约谈</w:t>
            </w:r>
            <w:r>
              <w:rPr>
                <w:rFonts w:hint="eastAsia" w:ascii="宋体" w:hAnsi="宋体" w:eastAsia="宋体" w:cs="宋体"/>
                <w:sz w:val="24"/>
                <w:szCs w:val="24"/>
              </w:rPr>
              <w:t>。</w:t>
            </w:r>
          </w:p>
          <w:p>
            <w:pPr>
              <w:jc w:val="left"/>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cs="宋体"/>
                <w:sz w:val="24"/>
                <w:szCs w:val="24"/>
                <w:lang w:eastAsia="zh-CN"/>
              </w:rPr>
              <w:t>予以通报，记入不诚信黑名单。</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机动车维修经营者未按照有关技术规范进行维修作业的；</w:t>
            </w:r>
          </w:p>
          <w:p>
            <w:pPr>
              <w:spacing w:line="560" w:lineRule="exact"/>
              <w:jc w:val="center"/>
              <w:rPr>
                <w:rFonts w:hint="eastAsia" w:ascii="宋体" w:hAnsi="宋体" w:eastAsia="宋体" w:cs="宋体"/>
                <w:sz w:val="24"/>
                <w:szCs w:val="24"/>
              </w:rPr>
            </w:pP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《中华人民共和国道路运输条例》第43条</w:t>
            </w:r>
          </w:p>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《机动车维修管理规定》第29条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53条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由县级以上道路运输管理机构责令其限期整改；限期整改不合格的，予以通报：</w:t>
            </w:r>
          </w:p>
          <w:p>
            <w:pPr>
              <w:spacing w:line="560" w:lineRule="exact"/>
              <w:jc w:val="center"/>
              <w:rPr>
                <w:rFonts w:hint="eastAsia" w:ascii="宋体" w:hAnsi="宋体" w:eastAsia="宋体" w:cs="宋体"/>
                <w:sz w:val="24"/>
                <w:szCs w:val="24"/>
              </w:rPr>
            </w:pPr>
          </w:p>
        </w:tc>
        <w:tc>
          <w:tcPr>
            <w:tcW w:w="4253" w:type="dxa"/>
            <w:vMerge w:val="restart"/>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spacing w:line="560" w:lineRule="exact"/>
              <w:jc w:val="left"/>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p>
        </w:tc>
        <w:tc>
          <w:tcPr>
            <w:tcW w:w="1252"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机动车维修经营者未按照规定执行机动车维修质量保证期制度的；</w:t>
            </w:r>
          </w:p>
          <w:p>
            <w:pPr>
              <w:spacing w:line="560" w:lineRule="exact"/>
              <w:jc w:val="center"/>
              <w:rPr>
                <w:rFonts w:hint="eastAsia" w:ascii="宋体" w:hAnsi="宋体" w:eastAsia="宋体" w:cs="宋体"/>
                <w:sz w:val="24"/>
                <w:szCs w:val="24"/>
              </w:rPr>
            </w:pP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《中华人民共和国道路运输条例》第44条</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《机动车维修管理规定》第36条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由县级以上道路运输管理机构责令其限期整改；限期整改不合格的，予以通报：</w:t>
            </w:r>
          </w:p>
          <w:p>
            <w:pPr>
              <w:spacing w:line="560" w:lineRule="exact"/>
              <w:jc w:val="center"/>
              <w:rPr>
                <w:rFonts w:hint="eastAsia" w:ascii="宋体" w:hAnsi="宋体" w:eastAsia="宋体" w:cs="宋体"/>
                <w:sz w:val="24"/>
                <w:szCs w:val="24"/>
              </w:rPr>
            </w:pPr>
          </w:p>
        </w:tc>
        <w:tc>
          <w:tcPr>
            <w:tcW w:w="4253" w:type="dxa"/>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p>
        </w:tc>
        <w:tc>
          <w:tcPr>
            <w:tcW w:w="1252"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机动车维修经营者使用假冒伪劣配件维修机动车</w:t>
            </w: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《中华人民共和国道路运输条例》第43条</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《机动车维修管理规定》第30条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改正；有违法所得的，没收违法所得，处违法所得2倍以上10倍以下的罚款；没有违法所得或者违法所得不足1万元的，处2万元以上5万元以下的罚款，没收假冒伪劣配件及报废车辆；情节严重的，由县级以上道路运输管理机构责令停业整顿；构成犯罪的，依法追究刑事责任。</w:t>
            </w:r>
            <w:r>
              <w:rPr>
                <w:rFonts w:hint="eastAsia" w:ascii="宋体" w:hAnsi="宋体" w:eastAsia="宋体" w:cs="宋体"/>
                <w:sz w:val="24"/>
                <w:szCs w:val="24"/>
              </w:rPr>
              <w:br w:type="textWrapping"/>
            </w:r>
          </w:p>
        </w:tc>
        <w:tc>
          <w:tcPr>
            <w:tcW w:w="4253" w:type="dxa"/>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p>
        </w:tc>
        <w:tc>
          <w:tcPr>
            <w:tcW w:w="1252"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90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承修已报废机动车或擅自改装机动车</w:t>
            </w:r>
          </w:p>
        </w:tc>
        <w:tc>
          <w:tcPr>
            <w:tcW w:w="29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《中华人民共和国道路运输条例》第45条《机动车维修管理规定》第22条</w:t>
            </w:r>
          </w:p>
        </w:tc>
        <w:tc>
          <w:tcPr>
            <w:tcW w:w="29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责令改正，有违法所得的，没收违法所得，处违法所得2倍以上10倍以下罚款，没有违法所得或违法所得不足1万元的，处2万以上5万以下罚款。</w:t>
            </w:r>
          </w:p>
        </w:tc>
        <w:tc>
          <w:tcPr>
            <w:tcW w:w="4253"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1、加大政策宣传。</w:t>
            </w:r>
          </w:p>
          <w:p>
            <w:pPr>
              <w:jc w:val="left"/>
              <w:rPr>
                <w:rFonts w:hint="eastAsia" w:ascii="宋体" w:hAnsi="宋体" w:eastAsia="宋体" w:cs="宋体"/>
                <w:sz w:val="24"/>
                <w:szCs w:val="24"/>
              </w:rPr>
            </w:pPr>
            <w:r>
              <w:rPr>
                <w:rFonts w:hint="eastAsia" w:ascii="宋体" w:hAnsi="宋体" w:eastAsia="宋体" w:cs="宋体"/>
                <w:sz w:val="24"/>
                <w:szCs w:val="24"/>
              </w:rPr>
              <w:t>2、备案时发放提示宣传资料，对企业负责人开展法规培训。</w:t>
            </w:r>
          </w:p>
          <w:p>
            <w:pPr>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eastAsia="zh-CN"/>
              </w:rPr>
              <w:t>进行约谈</w:t>
            </w:r>
            <w:r>
              <w:rPr>
                <w:rFonts w:hint="eastAsia" w:ascii="宋体" w:hAnsi="宋体" w:eastAsia="宋体" w:cs="宋体"/>
                <w:sz w:val="24"/>
                <w:szCs w:val="24"/>
              </w:rPr>
              <w:t>。</w:t>
            </w:r>
          </w:p>
          <w:p>
            <w:pPr>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cs="宋体"/>
                <w:sz w:val="24"/>
                <w:szCs w:val="24"/>
                <w:lang w:eastAsia="zh-CN"/>
              </w:rPr>
              <w:t>予以通报，记入不诚信黑名单。</w:t>
            </w:r>
          </w:p>
        </w:tc>
        <w:tc>
          <w:tcPr>
            <w:tcW w:w="12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lang w:val="en-US"/>
              </w:rPr>
              <w:t>13</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未按规定建立机动车维修档案并实行档案电子化管理的</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未及时上传维修电子数据记录至国家有关汽车维修电子健康档案系统的。</w:t>
            </w: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《机动车维修管理规定》第33条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由县级以上道路运输管理机构责令其限期整改；限期整改不合格的，予以通报：</w:t>
            </w:r>
          </w:p>
          <w:p>
            <w:pPr>
              <w:spacing w:line="560" w:lineRule="exact"/>
              <w:jc w:val="center"/>
              <w:rPr>
                <w:rFonts w:hint="eastAsia" w:ascii="宋体" w:hAnsi="宋体" w:eastAsia="宋体" w:cs="宋体"/>
                <w:sz w:val="24"/>
                <w:szCs w:val="24"/>
              </w:rPr>
            </w:pPr>
          </w:p>
          <w:p>
            <w:pPr>
              <w:spacing w:line="560" w:lineRule="exact"/>
              <w:jc w:val="center"/>
              <w:rPr>
                <w:rFonts w:hint="eastAsia" w:ascii="宋体" w:hAnsi="宋体" w:eastAsia="宋体" w:cs="宋体"/>
                <w:sz w:val="24"/>
                <w:szCs w:val="24"/>
              </w:rPr>
            </w:pPr>
          </w:p>
        </w:tc>
        <w:tc>
          <w:tcPr>
            <w:tcW w:w="4253" w:type="dxa"/>
            <w:vAlign w:val="center"/>
          </w:tcPr>
          <w:p>
            <w:pPr>
              <w:spacing w:line="560" w:lineRule="exact"/>
              <w:jc w:val="left"/>
              <w:rPr>
                <w:rFonts w:hint="eastAsia" w:ascii="宋体" w:hAnsi="宋体" w:eastAsia="宋体" w:cs="宋体"/>
                <w:sz w:val="24"/>
                <w:szCs w:val="24"/>
              </w:rPr>
            </w:pPr>
          </w:p>
          <w:p>
            <w:pPr>
              <w:spacing w:line="560" w:lineRule="exact"/>
              <w:jc w:val="left"/>
              <w:rPr>
                <w:rFonts w:hint="eastAsia" w:ascii="宋体" w:hAnsi="宋体" w:eastAsia="宋体" w:cs="宋体"/>
                <w:sz w:val="24"/>
                <w:szCs w:val="24"/>
              </w:rPr>
            </w:pPr>
          </w:p>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p>
          <w:p>
            <w:pPr>
              <w:spacing w:line="560" w:lineRule="exact"/>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3、利用高科技术力争实现数据自动上传</w:t>
            </w:r>
          </w:p>
          <w:p>
            <w:pPr>
              <w:spacing w:line="560" w:lineRule="exact"/>
              <w:jc w:val="left"/>
              <w:rPr>
                <w:rFonts w:hint="eastAsia" w:ascii="宋体" w:hAnsi="宋体" w:eastAsia="宋体" w:cs="宋体"/>
                <w:sz w:val="24"/>
                <w:szCs w:val="24"/>
              </w:rPr>
            </w:pPr>
          </w:p>
          <w:p>
            <w:pPr>
              <w:spacing w:line="560" w:lineRule="exact"/>
              <w:jc w:val="left"/>
              <w:rPr>
                <w:rFonts w:hint="eastAsia" w:ascii="宋体" w:hAnsi="宋体" w:eastAsia="宋体" w:cs="宋体"/>
                <w:sz w:val="24"/>
                <w:szCs w:val="24"/>
              </w:rPr>
            </w:pPr>
          </w:p>
        </w:tc>
        <w:tc>
          <w:tcPr>
            <w:tcW w:w="1252"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签发虚假的机动车维修合格证</w:t>
            </w: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《中华人民共和国道路运输条例》第44条</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《机动车维修管理规定》第32条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改正；有违法所得的，没收违法所得，处违法所得2倍以上10倍以下的罚款；没有违法所得或者违法所得不足3000元的，处5000元以上2万元以下的罚款；情节严重的，由县级以上道路运输管理机构责令停业整顿；构成犯罪的，依法追究刑事责任。</w:t>
            </w:r>
            <w:r>
              <w:rPr>
                <w:rFonts w:hint="eastAsia" w:ascii="宋体" w:hAnsi="宋体" w:eastAsia="宋体" w:cs="宋体"/>
                <w:sz w:val="24"/>
                <w:szCs w:val="24"/>
              </w:rPr>
              <w:br w:type="textWrapping"/>
            </w:r>
          </w:p>
        </w:tc>
        <w:tc>
          <w:tcPr>
            <w:tcW w:w="4253" w:type="dxa"/>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p>
        </w:tc>
        <w:tc>
          <w:tcPr>
            <w:tcW w:w="1252"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1908"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伪造、转借、倒卖机动车维修竣工出厂合格证的；</w:t>
            </w:r>
          </w:p>
        </w:tc>
        <w:tc>
          <w:tcPr>
            <w:tcW w:w="2977"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《中华人民共和国道路运输条例》第44条</w:t>
            </w:r>
          </w:p>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《机动车维修管理规定》第32条</w:t>
            </w:r>
          </w:p>
        </w:tc>
        <w:tc>
          <w:tcPr>
            <w:tcW w:w="2976"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由县级以上道路运输管理机构责令其限期整改；限期整改不合格的，予以通报：</w:t>
            </w:r>
          </w:p>
          <w:p>
            <w:pPr>
              <w:spacing w:line="560" w:lineRule="exact"/>
              <w:jc w:val="center"/>
              <w:rPr>
                <w:rFonts w:hint="eastAsia" w:ascii="宋体" w:hAnsi="宋体" w:eastAsia="宋体" w:cs="宋体"/>
                <w:sz w:val="24"/>
                <w:szCs w:val="24"/>
              </w:rPr>
            </w:pPr>
          </w:p>
        </w:tc>
        <w:tc>
          <w:tcPr>
            <w:tcW w:w="4253" w:type="dxa"/>
            <w:vAlign w:val="center"/>
          </w:tcPr>
          <w:p>
            <w:pPr>
              <w:numPr>
                <w:ilvl w:val="0"/>
                <w:numId w:val="0"/>
              </w:num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宣传相关政策</w:t>
            </w:r>
            <w:r>
              <w:rPr>
                <w:rFonts w:hint="eastAsia" w:ascii="宋体" w:hAnsi="宋体" w:cs="宋体"/>
                <w:sz w:val="24"/>
                <w:szCs w:val="24"/>
                <w:lang w:eastAsia="zh-CN"/>
              </w:rPr>
              <w:t>、法规，</w:t>
            </w:r>
            <w:r>
              <w:rPr>
                <w:rFonts w:hint="eastAsia" w:ascii="宋体" w:hAnsi="宋体" w:eastAsia="宋体" w:cs="宋体"/>
                <w:sz w:val="24"/>
                <w:szCs w:val="24"/>
              </w:rPr>
              <w:t>引导督促企业按照规定执行</w:t>
            </w:r>
          </w:p>
          <w:p>
            <w:pPr>
              <w:spacing w:line="560" w:lineRule="exact"/>
              <w:jc w:val="left"/>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适时开展行政指导</w:t>
            </w:r>
          </w:p>
        </w:tc>
        <w:tc>
          <w:tcPr>
            <w:tcW w:w="1252"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tcBorders>
              <w:top w:val="nil"/>
            </w:tcBorders>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1908" w:type="dxa"/>
            <w:tcBorders>
              <w:top w:val="nil"/>
            </w:tcBorders>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运输企业未建立车辆技术档案，档案不完整、不规范</w:t>
            </w:r>
          </w:p>
          <w:p>
            <w:pPr>
              <w:spacing w:line="560" w:lineRule="exact"/>
              <w:jc w:val="center"/>
              <w:rPr>
                <w:rFonts w:hint="eastAsia" w:ascii="宋体" w:hAnsi="宋体" w:eastAsia="宋体" w:cs="宋体"/>
                <w:sz w:val="24"/>
                <w:szCs w:val="24"/>
                <w:lang w:eastAsia="zh-CN"/>
              </w:rPr>
            </w:pPr>
          </w:p>
        </w:tc>
        <w:tc>
          <w:tcPr>
            <w:tcW w:w="2977" w:type="dxa"/>
            <w:tcBorders>
              <w:top w:val="nil"/>
            </w:tcBorders>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第</w:t>
            </w:r>
            <w:r>
              <w:rPr>
                <w:rFonts w:hint="eastAsia" w:ascii="宋体" w:hAnsi="宋体" w:eastAsia="宋体" w:cs="宋体"/>
                <w:sz w:val="24"/>
                <w:szCs w:val="24"/>
                <w:lang w:val="en-US" w:eastAsia="zh-CN"/>
              </w:rPr>
              <w:t>19</w:t>
            </w:r>
            <w:r>
              <w:rPr>
                <w:rFonts w:hint="eastAsia" w:ascii="宋体" w:hAnsi="宋体" w:eastAsia="宋体" w:cs="宋体"/>
                <w:sz w:val="24"/>
                <w:szCs w:val="24"/>
              </w:rPr>
              <w:t>条</w:t>
            </w:r>
            <w:r>
              <w:rPr>
                <w:rFonts w:hint="eastAsia" w:ascii="宋体" w:hAnsi="宋体" w:eastAsia="宋体" w:cs="宋体"/>
                <w:sz w:val="24"/>
                <w:szCs w:val="24"/>
                <w:lang w:eastAsia="zh-CN"/>
              </w:rPr>
              <w:t>令《道路运输车辆技术管理规定》</w:t>
            </w:r>
            <w:r>
              <w:rPr>
                <w:rFonts w:hint="eastAsia" w:ascii="宋体" w:hAnsi="宋体" w:eastAsia="宋体" w:cs="宋体"/>
                <w:sz w:val="24"/>
                <w:szCs w:val="24"/>
                <w:lang w:val="en-US" w:eastAsia="zh-CN"/>
              </w:rPr>
              <w:t>14条、31条</w:t>
            </w:r>
          </w:p>
        </w:tc>
        <w:tc>
          <w:tcPr>
            <w:tcW w:w="2976" w:type="dxa"/>
            <w:tcBorders>
              <w:top w:val="nil"/>
            </w:tcBorders>
            <w:vAlign w:val="center"/>
          </w:tcPr>
          <w:p>
            <w:pPr>
              <w:numPr>
                <w:ilvl w:val="0"/>
                <w:numId w:val="3"/>
              </w:numPr>
              <w:spacing w:line="560" w:lineRule="exact"/>
              <w:jc w:val="center"/>
              <w:rPr>
                <w:rFonts w:hint="eastAsia" w:ascii="宋体" w:hAnsi="宋体" w:cs="宋体"/>
                <w:sz w:val="24"/>
                <w:szCs w:val="24"/>
                <w:lang w:eastAsia="zh-CN"/>
              </w:rPr>
            </w:pPr>
            <w:r>
              <w:rPr>
                <w:rFonts w:hint="eastAsia" w:ascii="宋体" w:hAnsi="宋体" w:eastAsia="宋体" w:cs="宋体"/>
                <w:sz w:val="24"/>
                <w:szCs w:val="24"/>
              </w:rPr>
              <w:t>限期整改</w:t>
            </w:r>
            <w:r>
              <w:rPr>
                <w:rFonts w:hint="eastAsia" w:ascii="宋体" w:hAnsi="宋体" w:cs="宋体"/>
                <w:sz w:val="24"/>
                <w:szCs w:val="24"/>
                <w:lang w:eastAsia="zh-CN"/>
              </w:rPr>
              <w:t>、给予警告</w:t>
            </w:r>
          </w:p>
          <w:p>
            <w:pPr>
              <w:numPr>
                <w:ilvl w:val="0"/>
                <w:numId w:val="3"/>
              </w:numPr>
              <w:spacing w:line="560" w:lineRule="exact"/>
              <w:jc w:val="center"/>
              <w:rPr>
                <w:rFonts w:hint="eastAsia" w:ascii="宋体" w:hAnsi="宋体" w:cs="宋体"/>
                <w:sz w:val="24"/>
                <w:szCs w:val="24"/>
                <w:lang w:eastAsia="zh-CN"/>
              </w:rPr>
            </w:pPr>
            <w:r>
              <w:rPr>
                <w:rFonts w:hint="eastAsia" w:ascii="宋体" w:hAnsi="宋体" w:cs="宋体"/>
                <w:sz w:val="24"/>
                <w:szCs w:val="24"/>
                <w:lang w:eastAsia="zh-CN"/>
              </w:rPr>
              <w:t>情节严重的，处以</w:t>
            </w:r>
            <w:r>
              <w:rPr>
                <w:rFonts w:hint="eastAsia" w:ascii="宋体" w:hAnsi="宋体" w:cs="宋体"/>
                <w:sz w:val="24"/>
                <w:szCs w:val="24"/>
                <w:lang w:val="en-US" w:eastAsia="zh-CN"/>
              </w:rPr>
              <w:t>1000元以上5000元以下罚款</w:t>
            </w:r>
          </w:p>
        </w:tc>
        <w:tc>
          <w:tcPr>
            <w:tcW w:w="4253" w:type="dxa"/>
            <w:tcBorders>
              <w:top w:val="nil"/>
            </w:tcBorders>
            <w:vAlign w:val="center"/>
          </w:tcPr>
          <w:p>
            <w:pPr>
              <w:jc w:val="left"/>
              <w:rPr>
                <w:rFonts w:hint="eastAsia" w:ascii="宋体" w:hAnsi="宋体" w:eastAsia="宋体" w:cs="宋体"/>
                <w:sz w:val="24"/>
                <w:szCs w:val="24"/>
              </w:rPr>
            </w:pPr>
            <w:r>
              <w:rPr>
                <w:rFonts w:hint="eastAsia" w:ascii="宋体" w:hAnsi="宋体" w:eastAsia="宋体" w:cs="宋体"/>
                <w:sz w:val="24"/>
                <w:szCs w:val="24"/>
              </w:rPr>
              <w:t>1、加大政策宣传。</w:t>
            </w:r>
          </w:p>
          <w:p>
            <w:pPr>
              <w:jc w:val="left"/>
              <w:rPr>
                <w:rFonts w:hint="eastAsia" w:ascii="宋体" w:hAnsi="宋体" w:eastAsia="宋体" w:cs="宋体"/>
                <w:sz w:val="24"/>
                <w:szCs w:val="24"/>
              </w:rPr>
            </w:pPr>
            <w:r>
              <w:rPr>
                <w:rFonts w:hint="eastAsia" w:ascii="宋体" w:hAnsi="宋体" w:eastAsia="宋体" w:cs="宋体"/>
                <w:sz w:val="24"/>
                <w:szCs w:val="24"/>
              </w:rPr>
              <w:t>2、对企业负责人开展法规培训。</w:t>
            </w:r>
          </w:p>
          <w:p>
            <w:pPr>
              <w:jc w:val="left"/>
              <w:rPr>
                <w:rFonts w:hint="eastAsia" w:ascii="宋体" w:hAnsi="宋体" w:eastAsia="宋体" w:cs="宋体"/>
                <w:sz w:val="24"/>
                <w:szCs w:val="24"/>
              </w:rPr>
            </w:pPr>
            <w:r>
              <w:rPr>
                <w:rFonts w:hint="eastAsia" w:ascii="宋体" w:hAnsi="宋体" w:eastAsia="宋体" w:cs="宋体"/>
                <w:sz w:val="24"/>
                <w:szCs w:val="24"/>
              </w:rPr>
              <w:t>3、开展行政辅导、指导。</w:t>
            </w:r>
          </w:p>
          <w:p>
            <w:pPr>
              <w:spacing w:line="560" w:lineRule="exact"/>
              <w:jc w:val="left"/>
              <w:rPr>
                <w:rFonts w:hint="eastAsia" w:ascii="宋体" w:hAnsi="宋体" w:eastAsia="宋体" w:cs="宋体"/>
                <w:sz w:val="24"/>
                <w:szCs w:val="24"/>
              </w:rPr>
            </w:pPr>
          </w:p>
        </w:tc>
        <w:tc>
          <w:tcPr>
            <w:tcW w:w="1252" w:type="dxa"/>
            <w:tcBorders>
              <w:top w:val="nil"/>
            </w:tcBorders>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1908"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道路运输</w:t>
            </w:r>
            <w:r>
              <w:rPr>
                <w:rFonts w:hint="eastAsia" w:ascii="宋体" w:hAnsi="宋体" w:eastAsia="宋体" w:cs="宋体"/>
                <w:sz w:val="24"/>
                <w:szCs w:val="24"/>
                <w:lang w:eastAsia="zh-CN"/>
              </w:rPr>
              <w:t>车辆未按规定进行检测和技术等级评定</w:t>
            </w:r>
          </w:p>
        </w:tc>
        <w:tc>
          <w:tcPr>
            <w:tcW w:w="2977" w:type="dxa"/>
            <w:vAlign w:val="center"/>
          </w:tcPr>
          <w:p>
            <w:pPr>
              <w:spacing w:line="560" w:lineRule="exact"/>
              <w:jc w:val="center"/>
              <w:rPr>
                <w:rFonts w:hint="eastAsia" w:ascii="宋体" w:hAnsi="宋体" w:eastAsia="宋体" w:cs="宋体"/>
                <w:sz w:val="24"/>
                <w:szCs w:val="24"/>
                <w:lang w:val="en-US"/>
              </w:rPr>
            </w:pPr>
            <w:r>
              <w:rPr>
                <w:rFonts w:hint="eastAsia" w:ascii="宋体" w:hAnsi="宋体" w:eastAsia="宋体" w:cs="宋体"/>
                <w:sz w:val="24"/>
                <w:szCs w:val="24"/>
              </w:rPr>
              <w:t>第</w:t>
            </w:r>
            <w:r>
              <w:rPr>
                <w:rFonts w:hint="eastAsia" w:ascii="宋体" w:hAnsi="宋体" w:eastAsia="宋体" w:cs="宋体"/>
                <w:sz w:val="24"/>
                <w:szCs w:val="24"/>
                <w:lang w:val="en-US" w:eastAsia="zh-CN"/>
              </w:rPr>
              <w:t>19</w:t>
            </w:r>
            <w:r>
              <w:rPr>
                <w:rFonts w:hint="eastAsia" w:ascii="宋体" w:hAnsi="宋体" w:eastAsia="宋体" w:cs="宋体"/>
                <w:sz w:val="24"/>
                <w:szCs w:val="24"/>
              </w:rPr>
              <w:t>条</w:t>
            </w:r>
            <w:r>
              <w:rPr>
                <w:rFonts w:hint="eastAsia" w:ascii="宋体" w:hAnsi="宋体" w:eastAsia="宋体" w:cs="宋体"/>
                <w:sz w:val="24"/>
                <w:szCs w:val="24"/>
                <w:lang w:eastAsia="zh-CN"/>
              </w:rPr>
              <w:t>令《道路运输车辆技术管理规定》</w:t>
            </w:r>
            <w:r>
              <w:rPr>
                <w:rFonts w:hint="eastAsia" w:ascii="宋体" w:hAnsi="宋体" w:eastAsia="宋体" w:cs="宋体"/>
                <w:sz w:val="24"/>
                <w:szCs w:val="24"/>
                <w:lang w:val="en-US" w:eastAsia="zh-CN"/>
              </w:rPr>
              <w:t>19条、20条、21条、31条</w:t>
            </w:r>
          </w:p>
        </w:tc>
        <w:tc>
          <w:tcPr>
            <w:tcW w:w="2976" w:type="dxa"/>
            <w:vAlign w:val="center"/>
          </w:tcPr>
          <w:p>
            <w:pPr>
              <w:numPr>
                <w:ilvl w:val="0"/>
                <w:numId w:val="0"/>
              </w:numPr>
              <w:spacing w:line="560" w:lineRule="exact"/>
              <w:jc w:val="both"/>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限期整改</w:t>
            </w:r>
            <w:r>
              <w:rPr>
                <w:rFonts w:hint="eastAsia" w:ascii="宋体" w:hAnsi="宋体" w:cs="宋体"/>
                <w:sz w:val="24"/>
                <w:szCs w:val="24"/>
                <w:lang w:eastAsia="zh-CN"/>
              </w:rPr>
              <w:t>、给予警告</w:t>
            </w:r>
          </w:p>
          <w:p>
            <w:pPr>
              <w:spacing w:line="56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lang w:eastAsia="zh-CN"/>
              </w:rPr>
              <w:t>情节严重的，处以</w:t>
            </w:r>
            <w:r>
              <w:rPr>
                <w:rFonts w:hint="eastAsia" w:ascii="宋体" w:hAnsi="宋体" w:cs="宋体"/>
                <w:sz w:val="24"/>
                <w:szCs w:val="24"/>
                <w:lang w:val="en-US" w:eastAsia="zh-CN"/>
              </w:rPr>
              <w:t>1000元以上5000元以下罚款</w:t>
            </w:r>
          </w:p>
        </w:tc>
        <w:tc>
          <w:tcPr>
            <w:tcW w:w="4253"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1、加大政策宣传。</w:t>
            </w:r>
          </w:p>
          <w:p>
            <w:pPr>
              <w:jc w:val="left"/>
              <w:rPr>
                <w:rFonts w:hint="eastAsia" w:ascii="宋体" w:hAnsi="宋体" w:eastAsia="宋体" w:cs="宋体"/>
                <w:sz w:val="24"/>
                <w:szCs w:val="24"/>
              </w:rPr>
            </w:pPr>
            <w:r>
              <w:rPr>
                <w:rFonts w:hint="eastAsia" w:ascii="宋体" w:hAnsi="宋体" w:eastAsia="宋体" w:cs="宋体"/>
                <w:sz w:val="24"/>
                <w:szCs w:val="24"/>
              </w:rPr>
              <w:t>2、开展行政辅导、指导。</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加强维修企业维修信息</w:t>
            </w:r>
            <w:r>
              <w:rPr>
                <w:rFonts w:hint="eastAsia" w:ascii="宋体" w:hAnsi="宋体" w:eastAsia="宋体" w:cs="宋体"/>
                <w:sz w:val="24"/>
                <w:szCs w:val="24"/>
                <w:lang w:eastAsia="zh-CN"/>
              </w:rPr>
              <w:t>预警、提示</w:t>
            </w:r>
            <w:r>
              <w:rPr>
                <w:rFonts w:hint="eastAsia" w:ascii="宋体" w:hAnsi="宋体" w:eastAsia="宋体" w:cs="宋体"/>
                <w:sz w:val="24"/>
                <w:szCs w:val="24"/>
              </w:rPr>
              <w:t>。</w:t>
            </w:r>
          </w:p>
          <w:p>
            <w:pPr>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4、对违规较严重的企业进行约谈</w:t>
            </w:r>
          </w:p>
        </w:tc>
        <w:tc>
          <w:tcPr>
            <w:tcW w:w="1252" w:type="dxa"/>
            <w:vAlign w:val="center"/>
          </w:tcPr>
          <w:p>
            <w:pPr>
              <w:spacing w:line="560" w:lineRule="exact"/>
              <w:jc w:val="center"/>
              <w:rPr>
                <w:rFonts w:hint="eastAsia" w:ascii="宋体" w:hAnsi="宋体" w:eastAsia="宋体" w:cs="宋体"/>
                <w:sz w:val="24"/>
                <w:szCs w:val="24"/>
              </w:rPr>
            </w:pPr>
            <w:r>
              <w:rPr>
                <w:rFonts w:hint="eastAsia" w:ascii="宋体" w:hAnsi="宋体" w:eastAsia="宋体" w:cs="宋体"/>
                <w:sz w:val="24"/>
                <w:szCs w:val="24"/>
                <w:lang w:eastAsia="zh-CN"/>
              </w:rPr>
              <w:t>高</w:t>
            </w:r>
            <w:r>
              <w:rPr>
                <w:rFonts w:hint="eastAsia" w:ascii="宋体" w:hAnsi="宋体" w:eastAsia="宋体" w:cs="宋体"/>
                <w:sz w:val="24"/>
                <w:szCs w:val="24"/>
              </w:rPr>
              <w:t>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p>
        </w:tc>
        <w:tc>
          <w:tcPr>
            <w:tcW w:w="1908"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检测机构未按规范</w:t>
            </w:r>
            <w:r>
              <w:rPr>
                <w:rFonts w:hint="eastAsia" w:ascii="宋体" w:hAnsi="宋体" w:cs="宋体"/>
                <w:sz w:val="24"/>
                <w:szCs w:val="24"/>
                <w:lang w:eastAsia="zh-CN"/>
              </w:rPr>
              <w:t>作业的</w:t>
            </w:r>
            <w:r>
              <w:rPr>
                <w:rFonts w:hint="eastAsia" w:ascii="宋体" w:hAnsi="宋体" w:eastAsia="宋体" w:cs="宋体"/>
                <w:sz w:val="24"/>
                <w:szCs w:val="24"/>
                <w:lang w:eastAsia="zh-CN"/>
              </w:rPr>
              <w:t>，</w:t>
            </w:r>
            <w:r>
              <w:rPr>
                <w:rFonts w:hint="eastAsia" w:ascii="宋体" w:hAnsi="宋体" w:cs="宋体"/>
                <w:sz w:val="24"/>
                <w:szCs w:val="24"/>
                <w:lang w:eastAsia="zh-CN"/>
              </w:rPr>
              <w:t>或</w:t>
            </w:r>
            <w:bookmarkStart w:id="0" w:name="_GoBack"/>
            <w:bookmarkEnd w:id="0"/>
            <w:r>
              <w:rPr>
                <w:rFonts w:hint="eastAsia" w:ascii="宋体" w:hAnsi="宋体" w:eastAsia="宋体" w:cs="宋体"/>
                <w:sz w:val="24"/>
                <w:szCs w:val="24"/>
                <w:lang w:eastAsia="zh-CN"/>
              </w:rPr>
              <w:t>不如实出具检测结果的</w:t>
            </w:r>
          </w:p>
        </w:tc>
        <w:tc>
          <w:tcPr>
            <w:tcW w:w="2977" w:type="dxa"/>
            <w:vAlign w:val="center"/>
          </w:tcPr>
          <w:p>
            <w:pPr>
              <w:spacing w:line="5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rPr>
              <w:t>第</w:t>
            </w:r>
            <w:r>
              <w:rPr>
                <w:rFonts w:hint="eastAsia" w:ascii="宋体" w:hAnsi="宋体" w:eastAsia="宋体" w:cs="宋体"/>
                <w:sz w:val="24"/>
                <w:szCs w:val="24"/>
                <w:lang w:val="en-US" w:eastAsia="zh-CN"/>
              </w:rPr>
              <w:t>19</w:t>
            </w:r>
            <w:r>
              <w:rPr>
                <w:rFonts w:hint="eastAsia" w:ascii="宋体" w:hAnsi="宋体" w:eastAsia="宋体" w:cs="宋体"/>
                <w:sz w:val="24"/>
                <w:szCs w:val="24"/>
              </w:rPr>
              <w:t>条</w:t>
            </w:r>
            <w:r>
              <w:rPr>
                <w:rFonts w:hint="eastAsia" w:ascii="宋体" w:hAnsi="宋体" w:eastAsia="宋体" w:cs="宋体"/>
                <w:sz w:val="24"/>
                <w:szCs w:val="24"/>
                <w:lang w:eastAsia="zh-CN"/>
              </w:rPr>
              <w:t>令《道路运输车辆技术管理规定》</w:t>
            </w:r>
            <w:r>
              <w:rPr>
                <w:rFonts w:hint="eastAsia" w:ascii="宋体" w:hAnsi="宋体" w:eastAsia="宋体" w:cs="宋体"/>
                <w:sz w:val="24"/>
                <w:szCs w:val="24"/>
                <w:lang w:val="en-US" w:eastAsia="zh-CN"/>
              </w:rPr>
              <w:t>19条、23条、24条、32条</w:t>
            </w:r>
          </w:p>
        </w:tc>
        <w:tc>
          <w:tcPr>
            <w:tcW w:w="2976" w:type="dxa"/>
            <w:vAlign w:val="center"/>
          </w:tcPr>
          <w:p>
            <w:pPr>
              <w:numPr>
                <w:ilvl w:val="0"/>
                <w:numId w:val="0"/>
              </w:numPr>
              <w:spacing w:line="560" w:lineRule="exact"/>
              <w:jc w:val="both"/>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rPr>
              <w:t>限期整改</w:t>
            </w:r>
            <w:r>
              <w:rPr>
                <w:rFonts w:hint="eastAsia" w:ascii="宋体" w:hAnsi="宋体" w:cs="宋体"/>
                <w:sz w:val="24"/>
                <w:szCs w:val="24"/>
                <w:lang w:eastAsia="zh-CN"/>
              </w:rPr>
              <w:t>、给予警告</w:t>
            </w:r>
          </w:p>
          <w:p>
            <w:pPr>
              <w:spacing w:line="560" w:lineRule="exact"/>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lang w:eastAsia="zh-CN"/>
              </w:rPr>
              <w:t>情节严重的，处以</w:t>
            </w:r>
            <w:r>
              <w:rPr>
                <w:rFonts w:hint="eastAsia" w:ascii="宋体" w:hAnsi="宋体" w:cs="宋体"/>
                <w:sz w:val="24"/>
                <w:szCs w:val="24"/>
                <w:lang w:val="en-US" w:eastAsia="zh-CN"/>
              </w:rPr>
              <w:t>1000元以上5000元以下罚款</w:t>
            </w:r>
          </w:p>
        </w:tc>
        <w:tc>
          <w:tcPr>
            <w:tcW w:w="4253" w:type="dxa"/>
            <w:vAlign w:val="center"/>
          </w:tcPr>
          <w:p>
            <w:pPr>
              <w:jc w:val="left"/>
              <w:rPr>
                <w:rFonts w:hint="eastAsia" w:ascii="宋体" w:hAnsi="宋体" w:eastAsia="宋体" w:cs="宋体"/>
                <w:sz w:val="24"/>
                <w:szCs w:val="24"/>
              </w:rPr>
            </w:pPr>
            <w:r>
              <w:rPr>
                <w:rFonts w:hint="eastAsia" w:ascii="宋体" w:hAnsi="宋体" w:eastAsia="宋体" w:cs="宋体"/>
                <w:sz w:val="24"/>
                <w:szCs w:val="24"/>
              </w:rPr>
              <w:t>1、加大政策宣传。</w:t>
            </w:r>
          </w:p>
          <w:p>
            <w:pPr>
              <w:jc w:val="left"/>
              <w:rPr>
                <w:rFonts w:hint="eastAsia" w:ascii="宋体" w:hAnsi="宋体" w:eastAsia="宋体" w:cs="宋体"/>
                <w:sz w:val="24"/>
                <w:szCs w:val="24"/>
              </w:rPr>
            </w:pPr>
            <w:r>
              <w:rPr>
                <w:rFonts w:hint="eastAsia" w:ascii="宋体" w:hAnsi="宋体" w:eastAsia="宋体" w:cs="宋体"/>
                <w:sz w:val="24"/>
                <w:szCs w:val="24"/>
              </w:rPr>
              <w:t>2、开展行政辅导、指导。</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抄报同级质量监督管理部门处理。</w:t>
            </w:r>
          </w:p>
        </w:tc>
        <w:tc>
          <w:tcPr>
            <w:tcW w:w="1252" w:type="dxa"/>
            <w:vAlign w:val="center"/>
          </w:tcPr>
          <w:p>
            <w:pPr>
              <w:spacing w:line="5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rPr>
            </w:pPr>
          </w:p>
        </w:tc>
        <w:tc>
          <w:tcPr>
            <w:tcW w:w="1908" w:type="dxa"/>
            <w:vAlign w:val="center"/>
          </w:tcPr>
          <w:p>
            <w:pPr>
              <w:spacing w:line="560" w:lineRule="exact"/>
              <w:jc w:val="center"/>
              <w:rPr>
                <w:rFonts w:hint="eastAsia" w:ascii="宋体" w:hAnsi="宋体" w:eastAsia="宋体" w:cs="宋体"/>
                <w:sz w:val="24"/>
                <w:szCs w:val="24"/>
              </w:rPr>
            </w:pPr>
          </w:p>
        </w:tc>
        <w:tc>
          <w:tcPr>
            <w:tcW w:w="2977" w:type="dxa"/>
            <w:vAlign w:val="center"/>
          </w:tcPr>
          <w:p>
            <w:pPr>
              <w:spacing w:line="560" w:lineRule="exact"/>
              <w:jc w:val="center"/>
              <w:rPr>
                <w:rFonts w:hint="eastAsia" w:ascii="宋体" w:hAnsi="宋体" w:eastAsia="宋体" w:cs="宋体"/>
                <w:sz w:val="24"/>
                <w:szCs w:val="24"/>
              </w:rPr>
            </w:pPr>
          </w:p>
        </w:tc>
        <w:tc>
          <w:tcPr>
            <w:tcW w:w="2976" w:type="dxa"/>
            <w:vAlign w:val="center"/>
          </w:tcPr>
          <w:p>
            <w:pPr>
              <w:spacing w:line="560" w:lineRule="exact"/>
              <w:jc w:val="center"/>
              <w:rPr>
                <w:rFonts w:hint="eastAsia" w:ascii="宋体" w:hAnsi="宋体" w:eastAsia="宋体" w:cs="宋体"/>
                <w:sz w:val="24"/>
                <w:szCs w:val="24"/>
              </w:rPr>
            </w:pPr>
          </w:p>
        </w:tc>
        <w:tc>
          <w:tcPr>
            <w:tcW w:w="4253" w:type="dxa"/>
            <w:vAlign w:val="center"/>
          </w:tcPr>
          <w:p>
            <w:pPr>
              <w:spacing w:line="560" w:lineRule="exact"/>
              <w:jc w:val="left"/>
              <w:rPr>
                <w:rFonts w:hint="eastAsia" w:ascii="宋体" w:hAnsi="宋体" w:eastAsia="宋体" w:cs="宋体"/>
                <w:sz w:val="24"/>
                <w:szCs w:val="24"/>
              </w:rPr>
            </w:pPr>
          </w:p>
        </w:tc>
        <w:tc>
          <w:tcPr>
            <w:tcW w:w="1252" w:type="dxa"/>
            <w:vAlign w:val="center"/>
          </w:tcPr>
          <w:p>
            <w:pPr>
              <w:spacing w:line="56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696" w:type="dxa"/>
            <w:vAlign w:val="center"/>
          </w:tcPr>
          <w:p>
            <w:pPr>
              <w:spacing w:line="560" w:lineRule="exact"/>
              <w:jc w:val="center"/>
              <w:rPr>
                <w:rFonts w:hint="eastAsia" w:ascii="宋体" w:hAnsi="宋体" w:eastAsia="宋体" w:cs="宋体"/>
                <w:sz w:val="24"/>
                <w:szCs w:val="24"/>
              </w:rPr>
            </w:pPr>
          </w:p>
        </w:tc>
        <w:tc>
          <w:tcPr>
            <w:tcW w:w="1908" w:type="dxa"/>
            <w:vAlign w:val="center"/>
          </w:tcPr>
          <w:p>
            <w:pPr>
              <w:spacing w:line="560" w:lineRule="exact"/>
              <w:jc w:val="center"/>
              <w:rPr>
                <w:rFonts w:hint="eastAsia" w:ascii="宋体" w:hAnsi="宋体" w:eastAsia="宋体" w:cs="宋体"/>
                <w:sz w:val="24"/>
                <w:szCs w:val="24"/>
              </w:rPr>
            </w:pPr>
          </w:p>
        </w:tc>
        <w:tc>
          <w:tcPr>
            <w:tcW w:w="2977" w:type="dxa"/>
            <w:vAlign w:val="center"/>
          </w:tcPr>
          <w:p>
            <w:pPr>
              <w:spacing w:line="560" w:lineRule="exact"/>
              <w:jc w:val="center"/>
              <w:rPr>
                <w:rFonts w:hint="eastAsia" w:ascii="宋体" w:hAnsi="宋体" w:eastAsia="宋体" w:cs="宋体"/>
                <w:sz w:val="24"/>
                <w:szCs w:val="24"/>
              </w:rPr>
            </w:pPr>
          </w:p>
        </w:tc>
        <w:tc>
          <w:tcPr>
            <w:tcW w:w="2976" w:type="dxa"/>
            <w:vAlign w:val="center"/>
          </w:tcPr>
          <w:p>
            <w:pPr>
              <w:spacing w:line="560" w:lineRule="exact"/>
              <w:jc w:val="center"/>
              <w:rPr>
                <w:rFonts w:hint="eastAsia" w:ascii="宋体" w:hAnsi="宋体" w:eastAsia="宋体" w:cs="宋体"/>
                <w:sz w:val="24"/>
                <w:szCs w:val="24"/>
              </w:rPr>
            </w:pPr>
          </w:p>
        </w:tc>
        <w:tc>
          <w:tcPr>
            <w:tcW w:w="4253" w:type="dxa"/>
            <w:vAlign w:val="center"/>
          </w:tcPr>
          <w:p>
            <w:pPr>
              <w:spacing w:line="560" w:lineRule="exact"/>
              <w:jc w:val="left"/>
              <w:rPr>
                <w:rFonts w:hint="eastAsia" w:ascii="宋体" w:hAnsi="宋体" w:eastAsia="宋体" w:cs="宋体"/>
                <w:sz w:val="24"/>
                <w:szCs w:val="24"/>
              </w:rPr>
            </w:pPr>
          </w:p>
        </w:tc>
        <w:tc>
          <w:tcPr>
            <w:tcW w:w="1252" w:type="dxa"/>
            <w:vAlign w:val="center"/>
          </w:tcPr>
          <w:p>
            <w:pPr>
              <w:spacing w:line="560" w:lineRule="exact"/>
              <w:jc w:val="center"/>
              <w:rPr>
                <w:rFonts w:hint="eastAsia" w:ascii="宋体" w:hAnsi="宋体" w:eastAsia="宋体" w:cs="宋体"/>
                <w:sz w:val="24"/>
                <w:szCs w:val="24"/>
              </w:rPr>
            </w:pPr>
          </w:p>
        </w:tc>
      </w:tr>
    </w:tbl>
    <w:p>
      <w:pPr>
        <w:spacing w:line="560" w:lineRule="exact"/>
        <w:jc w:val="center"/>
        <w:rPr>
          <w:rFonts w:hint="eastAsia" w:ascii="宋体" w:hAnsi="宋体" w:eastAsia="宋体" w:cs="宋体"/>
          <w:sz w:val="24"/>
          <w:szCs w:val="24"/>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B0ECC6"/>
    <w:multiLevelType w:val="singleLevel"/>
    <w:tmpl w:val="E5B0ECC6"/>
    <w:lvl w:ilvl="0" w:tentative="0">
      <w:start w:val="1"/>
      <w:numFmt w:val="decimal"/>
      <w:suff w:val="nothing"/>
      <w:lvlText w:val="%1、"/>
      <w:lvlJc w:val="left"/>
    </w:lvl>
  </w:abstractNum>
  <w:abstractNum w:abstractNumId="1">
    <w:nsid w:val="4DE8DA84"/>
    <w:multiLevelType w:val="singleLevel"/>
    <w:tmpl w:val="4DE8DA84"/>
    <w:lvl w:ilvl="0" w:tentative="0">
      <w:start w:val="1"/>
      <w:numFmt w:val="decimal"/>
      <w:suff w:val="nothing"/>
      <w:lvlText w:val="%1、"/>
      <w:lvlJc w:val="left"/>
    </w:lvl>
  </w:abstractNum>
  <w:abstractNum w:abstractNumId="2">
    <w:nsid w:val="573AEA1B"/>
    <w:multiLevelType w:val="singleLevel"/>
    <w:tmpl w:val="573AEA1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AD"/>
    <w:rsid w:val="000103AD"/>
    <w:rsid w:val="00023489"/>
    <w:rsid w:val="000A67A0"/>
    <w:rsid w:val="001A671F"/>
    <w:rsid w:val="00216DD5"/>
    <w:rsid w:val="0028590D"/>
    <w:rsid w:val="002A74F3"/>
    <w:rsid w:val="002D4361"/>
    <w:rsid w:val="002E4EBC"/>
    <w:rsid w:val="00316D44"/>
    <w:rsid w:val="003205AC"/>
    <w:rsid w:val="00330422"/>
    <w:rsid w:val="00350EFA"/>
    <w:rsid w:val="003915AE"/>
    <w:rsid w:val="003A1929"/>
    <w:rsid w:val="003A3531"/>
    <w:rsid w:val="003C1E00"/>
    <w:rsid w:val="003D6288"/>
    <w:rsid w:val="00440DFE"/>
    <w:rsid w:val="004F4EB2"/>
    <w:rsid w:val="00527D1C"/>
    <w:rsid w:val="0055585E"/>
    <w:rsid w:val="005F66EC"/>
    <w:rsid w:val="006D7AC4"/>
    <w:rsid w:val="006E32CF"/>
    <w:rsid w:val="007007D6"/>
    <w:rsid w:val="00724B91"/>
    <w:rsid w:val="007752EE"/>
    <w:rsid w:val="007D65D5"/>
    <w:rsid w:val="007E2AAA"/>
    <w:rsid w:val="00841F26"/>
    <w:rsid w:val="008736E4"/>
    <w:rsid w:val="008C72A2"/>
    <w:rsid w:val="008D1BCE"/>
    <w:rsid w:val="00950B5D"/>
    <w:rsid w:val="00950CAF"/>
    <w:rsid w:val="00AB2A99"/>
    <w:rsid w:val="00AB4FE1"/>
    <w:rsid w:val="00AC0514"/>
    <w:rsid w:val="00AD3879"/>
    <w:rsid w:val="00B51AED"/>
    <w:rsid w:val="00B8182E"/>
    <w:rsid w:val="00B90A5B"/>
    <w:rsid w:val="00BA4C28"/>
    <w:rsid w:val="00BA702D"/>
    <w:rsid w:val="00BF3D9F"/>
    <w:rsid w:val="00C277E1"/>
    <w:rsid w:val="00C47DE5"/>
    <w:rsid w:val="00CE6F71"/>
    <w:rsid w:val="00D35FD0"/>
    <w:rsid w:val="00D732A2"/>
    <w:rsid w:val="00DF3B03"/>
    <w:rsid w:val="00E04C81"/>
    <w:rsid w:val="00E504C6"/>
    <w:rsid w:val="00E9415F"/>
    <w:rsid w:val="00EC6BB0"/>
    <w:rsid w:val="00EF64D6"/>
    <w:rsid w:val="00F1472B"/>
    <w:rsid w:val="00FE7111"/>
    <w:rsid w:val="00FF0381"/>
    <w:rsid w:val="00FF6E22"/>
    <w:rsid w:val="00FF7EF1"/>
    <w:rsid w:val="0C9340F6"/>
    <w:rsid w:val="148C549C"/>
    <w:rsid w:val="1AD31AC9"/>
    <w:rsid w:val="28052A7D"/>
    <w:rsid w:val="4A6946DC"/>
    <w:rsid w:val="5199469F"/>
    <w:rsid w:val="51B62E70"/>
    <w:rsid w:val="54207C54"/>
    <w:rsid w:val="571A641B"/>
    <w:rsid w:val="6C64563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adjustRightInd w:val="0"/>
      <w:spacing w:line="567" w:lineRule="atLeast"/>
      <w:ind w:firstLine="4253"/>
      <w:jc w:val="left"/>
    </w:pPr>
    <w:rPr>
      <w:rFonts w:ascii="Times New Roman" w:hAnsi="Times New Roman" w:eastAsia="仿宋_GB2312" w:cs="Times New Roman"/>
      <w:kern w:val="0"/>
      <w:sz w:val="32"/>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0"/>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日期 Char"/>
    <w:basedOn w:val="7"/>
    <w:link w:val="2"/>
    <w:qFormat/>
    <w:uiPriority w:val="0"/>
    <w:rPr>
      <w:rFonts w:ascii="Times New Roman" w:hAnsi="Times New Roman" w:eastAsia="仿宋_GB2312" w:cs="Times New Roman"/>
      <w:kern w:val="0"/>
      <w:sz w:val="32"/>
      <w:szCs w:val="20"/>
    </w:rPr>
  </w:style>
  <w:style w:type="character" w:customStyle="1" w:styleId="12">
    <w:name w:val="批注框文本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Words>
  <Characters>622</Characters>
  <Lines>5</Lines>
  <Paragraphs>1</Paragraphs>
  <TotalTime>4</TotalTime>
  <ScaleCrop>false</ScaleCrop>
  <LinksUpToDate>false</LinksUpToDate>
  <CharactersWithSpaces>729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2016-11-21T01:28:00Z</dcterms:created>
  <dc:creator>lenovo</dc:creator>
  <cp:lastModifiedBy>淡如水</cp:lastModifiedBy>
  <cp:lastPrinted>2019-08-29T03:02:00Z</cp:lastPrinted>
  <dcterms:modified xsi:type="dcterms:W3CDTF">2019-08-30T02:50:42Z</dcterms:modified>
  <dc:title>郑州市人民政府办公厅</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